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077A5" w14:textId="73A34680" w:rsidR="005061C0" w:rsidRPr="00C76BBA" w:rsidRDefault="005809D2" w:rsidP="002B4279">
      <w:pPr>
        <w:pStyle w:val="EnglishTitle"/>
      </w:pPr>
      <w:r w:rsidRPr="00C76BBA">
        <w:t xml:space="preserve">Effect </w:t>
      </w:r>
      <w:r w:rsidR="00302582" w:rsidRPr="00C76BBA">
        <w:t>of temperature and moisture content</w:t>
      </w:r>
      <w:r w:rsidR="00DF216B" w:rsidRPr="00C76BBA">
        <w:t xml:space="preserve"> </w:t>
      </w:r>
      <w:r w:rsidR="00302582" w:rsidRPr="00C76BBA">
        <w:t>of low rank coal</w:t>
      </w:r>
      <w:r w:rsidR="00DF216B" w:rsidRPr="00C76BBA">
        <w:t xml:space="preserve"> </w:t>
      </w:r>
      <w:r w:rsidR="00302582" w:rsidRPr="00C76BBA">
        <w:t>to</w:t>
      </w:r>
      <w:r w:rsidR="00C76BBA" w:rsidRPr="00C76BBA">
        <w:t xml:space="preserve"> slow pyrolysis</w:t>
      </w:r>
      <w:r w:rsidR="00302582" w:rsidRPr="00C76BBA">
        <w:t xml:space="preserve"> process</w:t>
      </w:r>
    </w:p>
    <w:p w14:paraId="3AC4BA87" w14:textId="77777777" w:rsidR="009301A8" w:rsidRPr="009D6EE5" w:rsidRDefault="009301A8" w:rsidP="002B4279">
      <w:pPr>
        <w:pStyle w:val="BodiText"/>
      </w:pPr>
    </w:p>
    <w:p w14:paraId="33723445" w14:textId="18C22C9F" w:rsidR="00FD3CEC" w:rsidRDefault="002B4279" w:rsidP="002B4279">
      <w:pPr>
        <w:pStyle w:val="IndonesianTitleBahasa"/>
      </w:pPr>
      <w:r>
        <w:rPr>
          <w:rStyle w:val="jlqj4b"/>
          <w:lang w:val="id-ID"/>
        </w:rPr>
        <w:t>PENGARUH SUHU DAN KELEMBABAN BATUBARA PERINGKAT RENDAH TERHADAP PROSES PIROLISIS LAMBAT</w:t>
      </w:r>
    </w:p>
    <w:p w14:paraId="3F4C0253" w14:textId="6170DD1F" w:rsidR="00FD3CEC" w:rsidRDefault="00FD3CEC" w:rsidP="002B4279">
      <w:pPr>
        <w:pStyle w:val="BodiText"/>
      </w:pPr>
    </w:p>
    <w:p w14:paraId="41DFCA6C" w14:textId="41657B1C" w:rsidR="005237B4" w:rsidRDefault="005237B4" w:rsidP="002B4279">
      <w:pPr>
        <w:pStyle w:val="BodiText"/>
      </w:pPr>
    </w:p>
    <w:p w14:paraId="5949AA95" w14:textId="0C8F1D92" w:rsidR="005237B4" w:rsidRDefault="005237B4" w:rsidP="005237B4">
      <w:pPr>
        <w:pStyle w:val="Author"/>
        <w:rPr>
          <w:sz w:val="17"/>
          <w:szCs w:val="17"/>
        </w:rPr>
      </w:pPr>
      <w:r>
        <w:t>Slamet Handoko</w:t>
      </w:r>
      <w:r>
        <w:t>*</w:t>
      </w:r>
      <w:r>
        <w:t xml:space="preserve">, Sapta Rianda, </w:t>
      </w:r>
      <w:r>
        <w:rPr>
          <w:caps w:val="0"/>
        </w:rPr>
        <w:t xml:space="preserve">and </w:t>
      </w:r>
      <w:r>
        <w:t>N Nurhadi</w:t>
      </w:r>
    </w:p>
    <w:p w14:paraId="247AEE20" w14:textId="77777777" w:rsidR="005237B4" w:rsidRDefault="005237B4" w:rsidP="005237B4">
      <w:pPr>
        <w:pStyle w:val="BodiText"/>
        <w:jc w:val="center"/>
      </w:pPr>
      <w:r>
        <w:t>R&amp;D Centre for Mineral and Coal Technology (</w:t>
      </w:r>
      <w:proofErr w:type="spellStart"/>
      <w:r>
        <w:t>tekMIRA</w:t>
      </w:r>
      <w:proofErr w:type="spellEnd"/>
      <w:r>
        <w:t>)</w:t>
      </w:r>
    </w:p>
    <w:p w14:paraId="23B7A384" w14:textId="675BF2CB" w:rsidR="005237B4" w:rsidRDefault="005237B4" w:rsidP="005237B4">
      <w:pPr>
        <w:pStyle w:val="BodiText"/>
        <w:jc w:val="center"/>
      </w:pPr>
      <w:proofErr w:type="spellStart"/>
      <w:r>
        <w:t>Jalan</w:t>
      </w:r>
      <w:proofErr w:type="spellEnd"/>
      <w:r>
        <w:t xml:space="preserve"> </w:t>
      </w:r>
      <w:proofErr w:type="spellStart"/>
      <w:r>
        <w:t>Jendenderal</w:t>
      </w:r>
      <w:proofErr w:type="spellEnd"/>
      <w:r>
        <w:t xml:space="preserve"> </w:t>
      </w:r>
      <w:proofErr w:type="spellStart"/>
      <w:r>
        <w:t>Sudirman</w:t>
      </w:r>
      <w:proofErr w:type="spellEnd"/>
      <w:r>
        <w:t xml:space="preserve"> No.623,</w:t>
      </w:r>
      <w:r>
        <w:t xml:space="preserve"> 40211 Bandung</w:t>
      </w:r>
    </w:p>
    <w:p w14:paraId="6D30ADE5" w14:textId="4AFA4AC1" w:rsidR="005237B4" w:rsidRPr="005237B4" w:rsidRDefault="005237B4" w:rsidP="005237B4">
      <w:pPr>
        <w:pStyle w:val="BodiText"/>
        <w:jc w:val="center"/>
      </w:pPr>
      <w:r>
        <w:t>*Corresponding e-</w:t>
      </w:r>
      <w:r>
        <w:t xml:space="preserve">mail: </w:t>
      </w:r>
      <w:hyperlink r:id="rId6" w:history="1">
        <w:r w:rsidRPr="008433DF">
          <w:rPr>
            <w:rStyle w:val="Hyperlink"/>
          </w:rPr>
          <w:t>slamet.handoko@esdm.go.id</w:t>
        </w:r>
      </w:hyperlink>
    </w:p>
    <w:p w14:paraId="22C63FA5" w14:textId="77777777" w:rsidR="005237B4" w:rsidRPr="005237B4" w:rsidRDefault="005237B4" w:rsidP="005237B4">
      <w:pPr>
        <w:pStyle w:val="BodiText"/>
      </w:pPr>
    </w:p>
    <w:p w14:paraId="6201FA06" w14:textId="77777777" w:rsidR="00FD3CEC" w:rsidRDefault="00FD3CEC" w:rsidP="002B4279">
      <w:pPr>
        <w:pStyle w:val="BodiText"/>
      </w:pPr>
    </w:p>
    <w:tbl>
      <w:tblPr>
        <w:tblW w:w="8505" w:type="dxa"/>
        <w:jc w:val="center"/>
        <w:tblBorders>
          <w:top w:val="nil"/>
          <w:left w:val="nil"/>
          <w:bottom w:val="nil"/>
          <w:right w:val="nil"/>
          <w:insideH w:val="nil"/>
          <w:insideV w:val="nil"/>
        </w:tblBorders>
        <w:tblLayout w:type="fixed"/>
        <w:tblLook w:val="0400" w:firstRow="0" w:lastRow="0" w:firstColumn="0" w:lastColumn="0" w:noHBand="0" w:noVBand="1"/>
      </w:tblPr>
      <w:tblGrid>
        <w:gridCol w:w="8505"/>
      </w:tblGrid>
      <w:tr w:rsidR="002B4279" w:rsidRPr="002341AF" w14:paraId="1EA9945B" w14:textId="77777777" w:rsidTr="0075313A">
        <w:trPr>
          <w:trHeight w:val="728"/>
          <w:jc w:val="center"/>
        </w:trPr>
        <w:tc>
          <w:tcPr>
            <w:tcW w:w="8505" w:type="dxa"/>
            <w:shd w:val="clear" w:color="auto" w:fill="D9D9D9"/>
          </w:tcPr>
          <w:p w14:paraId="618A3868" w14:textId="77777777" w:rsidR="002B4279" w:rsidRPr="002341AF" w:rsidRDefault="002B4279" w:rsidP="0075313A">
            <w:pPr>
              <w:pStyle w:val="AbstractTitle"/>
            </w:pPr>
            <w:r w:rsidRPr="002341AF">
              <w:t>ABSTRACT</w:t>
            </w:r>
          </w:p>
          <w:p w14:paraId="0EA2E299" w14:textId="77777777" w:rsidR="002B4279" w:rsidRPr="002341AF" w:rsidRDefault="002B4279" w:rsidP="0075313A">
            <w:pPr>
              <w:pStyle w:val="Abstract"/>
            </w:pPr>
          </w:p>
          <w:p w14:paraId="19DBC1E1" w14:textId="4C7DA4A3" w:rsidR="002B4279" w:rsidRPr="002341AF" w:rsidRDefault="002B4279" w:rsidP="0075313A">
            <w:pPr>
              <w:pStyle w:val="Abstract"/>
              <w:spacing w:after="100"/>
            </w:pPr>
            <w:r>
              <w:t>G</w:t>
            </w:r>
            <w:r w:rsidRPr="00934C13">
              <w:t xml:space="preserve">overnment </w:t>
            </w:r>
            <w:r>
              <w:t xml:space="preserve">of Indonesia </w:t>
            </w:r>
            <w:r w:rsidRPr="00934C13">
              <w:t xml:space="preserve">has made policies to increase the added value of coal. </w:t>
            </w:r>
            <w:r>
              <w:t xml:space="preserve">It </w:t>
            </w:r>
            <w:r w:rsidRPr="00934C13">
              <w:t xml:space="preserve">can be done </w:t>
            </w:r>
            <w:r>
              <w:t>by</w:t>
            </w:r>
            <w:r w:rsidRPr="00934C13">
              <w:t xml:space="preserve"> using the technology of </w:t>
            </w:r>
            <w:r w:rsidRPr="00275988">
              <w:t>slow pyrolysis</w:t>
            </w:r>
            <w:r w:rsidRPr="00934C13">
              <w:t xml:space="preserve">. </w:t>
            </w:r>
            <w:r>
              <w:t>Therefore</w:t>
            </w:r>
            <w:r w:rsidRPr="00FE6B35">
              <w:t xml:space="preserve">, the aim of this study </w:t>
            </w:r>
            <w:r>
              <w:t xml:space="preserve">was </w:t>
            </w:r>
            <w:r w:rsidRPr="00934C13">
              <w:t xml:space="preserve">to increase the added value of coal. </w:t>
            </w:r>
            <w:r>
              <w:t>T</w:t>
            </w:r>
            <w:r w:rsidRPr="00934C13">
              <w:t xml:space="preserve">his study was carried out by </w:t>
            </w:r>
            <w:proofErr w:type="spellStart"/>
            <w:r w:rsidRPr="00934C13">
              <w:t>analysing</w:t>
            </w:r>
            <w:proofErr w:type="spellEnd"/>
            <w:r w:rsidRPr="00934C13">
              <w:t xml:space="preserve"> the </w:t>
            </w:r>
            <w:r>
              <w:t>effect</w:t>
            </w:r>
            <w:r w:rsidRPr="00934C13">
              <w:t xml:space="preserve"> of temperature and water content of the feed </w:t>
            </w:r>
            <w:r>
              <w:t>to</w:t>
            </w:r>
            <w:r w:rsidRPr="00934C13">
              <w:t xml:space="preserve"> the products of </w:t>
            </w:r>
            <w:r w:rsidRPr="00275988">
              <w:t>slow pyrolysis</w:t>
            </w:r>
            <w:r w:rsidRPr="00934C13">
              <w:t xml:space="preserve">. </w:t>
            </w:r>
            <w:r>
              <w:t>W</w:t>
            </w:r>
            <w:r w:rsidRPr="009D0B7D">
              <w:t xml:space="preserve">ater content </w:t>
            </w:r>
            <w:r>
              <w:t>v</w:t>
            </w:r>
            <w:r w:rsidRPr="009D0B7D">
              <w:t xml:space="preserve">ariation in </w:t>
            </w:r>
            <w:r>
              <w:t xml:space="preserve">the </w:t>
            </w:r>
            <w:r w:rsidRPr="009D0B7D">
              <w:t xml:space="preserve">feed form of coal </w:t>
            </w:r>
            <w:r>
              <w:t>is</w:t>
            </w:r>
            <w:r w:rsidRPr="009D0B7D">
              <w:t xml:space="preserve"> 10.57 </w:t>
            </w:r>
            <w:proofErr w:type="spellStart"/>
            <w:r w:rsidRPr="009D0B7D">
              <w:t>wt</w:t>
            </w:r>
            <w:proofErr w:type="spellEnd"/>
            <w:r w:rsidRPr="009D0B7D">
              <w:t xml:space="preserve">% </w:t>
            </w:r>
            <w:r w:rsidRPr="009A5E15">
              <w:t xml:space="preserve">and 16.86 </w:t>
            </w:r>
            <w:proofErr w:type="spellStart"/>
            <w:r w:rsidRPr="009A5E15">
              <w:t>wt</w:t>
            </w:r>
            <w:proofErr w:type="spellEnd"/>
            <w:r w:rsidRPr="009A5E15">
              <w:t>%</w:t>
            </w:r>
            <w:r>
              <w:t>.</w:t>
            </w:r>
            <w:r w:rsidRPr="009A5E15">
              <w:t xml:space="preserve"> </w:t>
            </w:r>
            <w:r>
              <w:t>T</w:t>
            </w:r>
            <w:r w:rsidRPr="009A5E15">
              <w:t>emperature</w:t>
            </w:r>
            <w:r>
              <w:t>s</w:t>
            </w:r>
            <w:r w:rsidRPr="009A5E15">
              <w:t xml:space="preserve"> variation</w:t>
            </w:r>
            <w:r>
              <w:t xml:space="preserve"> in slow pyrolysis process</w:t>
            </w:r>
            <w:r w:rsidRPr="009A5E15">
              <w:t xml:space="preserve"> </w:t>
            </w:r>
            <w:r>
              <w:t xml:space="preserve">were </w:t>
            </w:r>
            <w:r w:rsidRPr="009A5E15">
              <w:t xml:space="preserve">500, 600, 700, and 800 ºC. </w:t>
            </w:r>
            <w:r>
              <w:t xml:space="preserve">The result of this research showed that low moisture content coal produced more char in </w:t>
            </w:r>
            <w:r w:rsidRPr="00275988">
              <w:t>slow pyrolysis</w:t>
            </w:r>
            <w:r>
              <w:t xml:space="preserve"> process.</w:t>
            </w:r>
            <w:r w:rsidRPr="009A5E15">
              <w:t xml:space="preserve"> Based on the variations of the temperature used, the higher temperature of pyrolysis produce</w:t>
            </w:r>
            <w:r>
              <w:t>d</w:t>
            </w:r>
            <w:r w:rsidRPr="009A5E15">
              <w:t xml:space="preserve"> fewer char but higher calorific value</w:t>
            </w:r>
            <w:r>
              <w:t xml:space="preserve"> of coal product</w:t>
            </w:r>
            <w:r w:rsidRPr="009A5E15">
              <w:t>.</w:t>
            </w:r>
            <w:r>
              <w:t xml:space="preserve"> The optimum operating condition was obtained at 500-</w:t>
            </w:r>
            <w:r w:rsidRPr="005C6706">
              <w:t>600 ºC.</w:t>
            </w:r>
          </w:p>
        </w:tc>
      </w:tr>
      <w:tr w:rsidR="002B4279" w:rsidRPr="002341AF" w14:paraId="0F191D59" w14:textId="77777777" w:rsidTr="0075313A">
        <w:trPr>
          <w:jc w:val="center"/>
        </w:trPr>
        <w:tc>
          <w:tcPr>
            <w:tcW w:w="8505" w:type="dxa"/>
          </w:tcPr>
          <w:p w14:paraId="6AAD22B3" w14:textId="7C4AA34C" w:rsidR="002B4279" w:rsidRPr="002341AF" w:rsidRDefault="002B4279" w:rsidP="0075313A">
            <w:pPr>
              <w:pStyle w:val="Abstract"/>
              <w:tabs>
                <w:tab w:val="left" w:pos="1029"/>
              </w:tabs>
              <w:spacing w:before="100"/>
            </w:pPr>
            <w:r w:rsidRPr="002341AF">
              <w:t>Keywords:</w:t>
            </w:r>
            <w:r>
              <w:tab/>
              <w:t>slow</w:t>
            </w:r>
            <w:r w:rsidRPr="005C6706">
              <w:t xml:space="preserve"> pyrolysis, </w:t>
            </w:r>
            <w:r>
              <w:t xml:space="preserve">water content, temperature, </w:t>
            </w:r>
            <w:r w:rsidRPr="005C6706">
              <w:t>char quality, and char energy content.</w:t>
            </w:r>
          </w:p>
        </w:tc>
      </w:tr>
      <w:tr w:rsidR="002B4279" w:rsidRPr="002341AF" w14:paraId="5AB2EE60" w14:textId="77777777" w:rsidTr="0075313A">
        <w:trPr>
          <w:trHeight w:val="470"/>
          <w:jc w:val="center"/>
        </w:trPr>
        <w:tc>
          <w:tcPr>
            <w:tcW w:w="8505" w:type="dxa"/>
          </w:tcPr>
          <w:p w14:paraId="51879D86" w14:textId="77777777" w:rsidR="002B4279" w:rsidRPr="002341AF" w:rsidRDefault="002B4279" w:rsidP="0075313A">
            <w:pPr>
              <w:pStyle w:val="BodiText"/>
            </w:pPr>
          </w:p>
        </w:tc>
      </w:tr>
      <w:tr w:rsidR="002B4279" w:rsidRPr="002341AF" w14:paraId="30804243" w14:textId="77777777" w:rsidTr="0075313A">
        <w:trPr>
          <w:trHeight w:val="659"/>
          <w:jc w:val="center"/>
        </w:trPr>
        <w:tc>
          <w:tcPr>
            <w:tcW w:w="8505" w:type="dxa"/>
            <w:shd w:val="clear" w:color="auto" w:fill="D9D9D9"/>
          </w:tcPr>
          <w:p w14:paraId="1D6FCAC5" w14:textId="77777777" w:rsidR="002B4279" w:rsidRPr="002341AF" w:rsidRDefault="002B4279" w:rsidP="0075313A">
            <w:pPr>
              <w:pStyle w:val="AbstractTitle"/>
              <w:rPr>
                <w:i/>
              </w:rPr>
            </w:pPr>
            <w:r w:rsidRPr="002341AF">
              <w:rPr>
                <w:i/>
              </w:rPr>
              <w:t>ABSTRAK</w:t>
            </w:r>
          </w:p>
          <w:p w14:paraId="64C29EA3" w14:textId="77777777" w:rsidR="002B4279" w:rsidRPr="002341AF" w:rsidRDefault="002B4279" w:rsidP="0075313A">
            <w:pPr>
              <w:pStyle w:val="Abstract"/>
            </w:pPr>
          </w:p>
          <w:p w14:paraId="194CC077" w14:textId="21ACC661" w:rsidR="002B4279" w:rsidRPr="002B4279" w:rsidRDefault="002B4279" w:rsidP="002B4279">
            <w:pPr>
              <w:pStyle w:val="Abstract"/>
              <w:spacing w:after="100"/>
              <w:rPr>
                <w:i/>
                <w:spacing w:val="-2"/>
              </w:rPr>
            </w:pPr>
            <w:r w:rsidRPr="002B4279">
              <w:rPr>
                <w:rStyle w:val="jlqj4b"/>
                <w:i/>
                <w:lang w:val="id-ID"/>
              </w:rPr>
              <w:t>Pemerintah Indonesia telah membuat kebijakan untuk meningkatkan nilai tambah batubara.</w:t>
            </w:r>
            <w:r w:rsidRPr="002B4279">
              <w:rPr>
                <w:rStyle w:val="viiyi"/>
                <w:i/>
                <w:lang w:val="id-ID"/>
              </w:rPr>
              <w:t xml:space="preserve"> </w:t>
            </w:r>
            <w:r w:rsidRPr="002B4279">
              <w:rPr>
                <w:rStyle w:val="jlqj4b"/>
                <w:i/>
                <w:lang w:val="id-ID"/>
              </w:rPr>
              <w:t xml:space="preserve">Hal ini dapat dilakukan dengan menggunakan teknologi </w:t>
            </w:r>
            <w:proofErr w:type="spellStart"/>
            <w:r w:rsidRPr="002B4279">
              <w:rPr>
                <w:rStyle w:val="jlqj4b"/>
                <w:i/>
              </w:rPr>
              <w:t>pirolisis</w:t>
            </w:r>
            <w:proofErr w:type="spellEnd"/>
            <w:r w:rsidRPr="002B4279">
              <w:rPr>
                <w:rStyle w:val="jlqj4b"/>
                <w:i/>
              </w:rPr>
              <w:t xml:space="preserve"> </w:t>
            </w:r>
            <w:proofErr w:type="spellStart"/>
            <w:r w:rsidRPr="002B4279">
              <w:rPr>
                <w:rStyle w:val="jlqj4b"/>
                <w:i/>
              </w:rPr>
              <w:t>lambat</w:t>
            </w:r>
            <w:proofErr w:type="spellEnd"/>
            <w:r w:rsidRPr="002B4279">
              <w:rPr>
                <w:rStyle w:val="jlqj4b"/>
                <w:i/>
                <w:lang w:val="id-ID"/>
              </w:rPr>
              <w:t>.</w:t>
            </w:r>
            <w:r w:rsidRPr="002B4279">
              <w:rPr>
                <w:rStyle w:val="viiyi"/>
                <w:i/>
                <w:lang w:val="id-ID"/>
              </w:rPr>
              <w:t xml:space="preserve"> </w:t>
            </w:r>
            <w:r w:rsidRPr="002B4279">
              <w:rPr>
                <w:rStyle w:val="jlqj4b"/>
                <w:i/>
                <w:lang w:val="id-ID"/>
              </w:rPr>
              <w:t>Oleh karena itu, tujuan dari penelitian ini adalah untuk meningkatkan nilai tambah batubara.</w:t>
            </w:r>
            <w:r w:rsidRPr="002B4279">
              <w:rPr>
                <w:rStyle w:val="viiyi"/>
                <w:i/>
                <w:lang w:val="id-ID"/>
              </w:rPr>
              <w:t xml:space="preserve"> </w:t>
            </w:r>
            <w:r w:rsidRPr="002B4279">
              <w:rPr>
                <w:rStyle w:val="jlqj4b"/>
                <w:i/>
                <w:lang w:val="id-ID"/>
              </w:rPr>
              <w:t>Penelitian ini dilakukan dengan menganalisis pengaruh suhu dan kadar air umpan terhadap produk pirolisis lambat.</w:t>
            </w:r>
            <w:r w:rsidRPr="002B4279">
              <w:rPr>
                <w:rStyle w:val="viiyi"/>
                <w:i/>
                <w:lang w:val="id-ID"/>
              </w:rPr>
              <w:t xml:space="preserve"> </w:t>
            </w:r>
            <w:r w:rsidRPr="002B4279">
              <w:rPr>
                <w:rStyle w:val="jlqj4b"/>
                <w:i/>
                <w:lang w:val="id-ID"/>
              </w:rPr>
              <w:t>Variasi kadar air dalam bentuk umpan batubara adalah 10,57 wt% dan 16,86 wt%.</w:t>
            </w:r>
            <w:r w:rsidRPr="002B4279">
              <w:rPr>
                <w:rStyle w:val="viiyi"/>
                <w:i/>
                <w:lang w:val="id-ID"/>
              </w:rPr>
              <w:t xml:space="preserve"> </w:t>
            </w:r>
            <w:r w:rsidRPr="002B4279">
              <w:rPr>
                <w:rStyle w:val="jlqj4b"/>
                <w:i/>
                <w:lang w:val="id-ID"/>
              </w:rPr>
              <w:t xml:space="preserve">Variasi suhu pada proses pirolisis lambat adalah 500, 600, 700, dan 800 </w:t>
            </w:r>
            <w:r w:rsidRPr="002B4279">
              <w:rPr>
                <w:rStyle w:val="jlqj4b"/>
                <w:i/>
              </w:rPr>
              <w:t>°</w:t>
            </w:r>
            <w:r w:rsidRPr="002B4279">
              <w:rPr>
                <w:rStyle w:val="jlqj4b"/>
                <w:i/>
                <w:lang w:val="id-ID"/>
              </w:rPr>
              <w:t>C.</w:t>
            </w:r>
            <w:r w:rsidRPr="002B4279">
              <w:rPr>
                <w:rStyle w:val="viiyi"/>
                <w:i/>
                <w:lang w:val="id-ID"/>
              </w:rPr>
              <w:t xml:space="preserve"> </w:t>
            </w:r>
            <w:r w:rsidRPr="002B4279">
              <w:rPr>
                <w:rStyle w:val="jlqj4b"/>
                <w:i/>
                <w:lang w:val="id-ID"/>
              </w:rPr>
              <w:t>Hasil penelitian menunjukkan bahwa batubara dengan kadar air rendah menghasilkan lebih banyak arang pada proses pirolisis lambat.</w:t>
            </w:r>
            <w:r w:rsidRPr="002B4279">
              <w:rPr>
                <w:rStyle w:val="viiyi"/>
                <w:i/>
                <w:lang w:val="id-ID"/>
              </w:rPr>
              <w:t xml:space="preserve"> </w:t>
            </w:r>
            <w:r w:rsidRPr="002B4279">
              <w:rPr>
                <w:rStyle w:val="jlqj4b"/>
                <w:i/>
                <w:lang w:val="id-ID"/>
              </w:rPr>
              <w:t>Berdasarkan variasi suhu yang digunakan, semakin tinggi suhu pirolisis menghasilkan lebih sedikit arang tetapi nilai kalor produk batubara lebih tinggi.</w:t>
            </w:r>
            <w:r w:rsidRPr="002B4279">
              <w:rPr>
                <w:rStyle w:val="viiyi"/>
                <w:i/>
                <w:lang w:val="id-ID"/>
              </w:rPr>
              <w:t xml:space="preserve"> </w:t>
            </w:r>
            <w:r w:rsidRPr="002B4279">
              <w:rPr>
                <w:rStyle w:val="jlqj4b"/>
                <w:i/>
                <w:lang w:val="id-ID"/>
              </w:rPr>
              <w:t>Kondisi operasi optimum diperoleh pada 500-600</w:t>
            </w:r>
            <w:r w:rsidRPr="002B4279">
              <w:rPr>
                <w:rStyle w:val="jlqj4b"/>
                <w:i/>
              </w:rPr>
              <w:t xml:space="preserve"> °</w:t>
            </w:r>
            <w:r w:rsidRPr="002B4279">
              <w:rPr>
                <w:rStyle w:val="jlqj4b"/>
                <w:i/>
                <w:lang w:val="id-ID"/>
              </w:rPr>
              <w:t>C.</w:t>
            </w:r>
          </w:p>
        </w:tc>
      </w:tr>
      <w:tr w:rsidR="002B4279" w:rsidRPr="002341AF" w14:paraId="5C9EB163" w14:textId="77777777" w:rsidTr="0075313A">
        <w:trPr>
          <w:trHeight w:val="334"/>
          <w:jc w:val="center"/>
        </w:trPr>
        <w:tc>
          <w:tcPr>
            <w:tcW w:w="8505" w:type="dxa"/>
          </w:tcPr>
          <w:p w14:paraId="437AE48C" w14:textId="1F502B94" w:rsidR="002B4279" w:rsidRPr="002341AF" w:rsidRDefault="002B4279" w:rsidP="00FF55BB">
            <w:pPr>
              <w:pStyle w:val="Abstract"/>
              <w:tabs>
                <w:tab w:val="left" w:pos="1029"/>
              </w:tabs>
              <w:spacing w:before="100"/>
              <w:rPr>
                <w:i/>
              </w:rPr>
            </w:pPr>
            <w:r w:rsidRPr="002341AF">
              <w:rPr>
                <w:i/>
              </w:rPr>
              <w:t xml:space="preserve">Kata </w:t>
            </w:r>
            <w:proofErr w:type="spellStart"/>
            <w:r w:rsidRPr="002341AF">
              <w:rPr>
                <w:i/>
              </w:rPr>
              <w:t>kunci</w:t>
            </w:r>
            <w:proofErr w:type="spellEnd"/>
            <w:r w:rsidRPr="002341AF">
              <w:rPr>
                <w:i/>
              </w:rPr>
              <w:t>:</w:t>
            </w:r>
            <w:r w:rsidRPr="002341AF">
              <w:rPr>
                <w:i/>
              </w:rPr>
              <w:tab/>
            </w:r>
            <w:proofErr w:type="spellStart"/>
            <w:r w:rsidR="00FF55BB">
              <w:rPr>
                <w:i/>
              </w:rPr>
              <w:t>pirolisis</w:t>
            </w:r>
            <w:proofErr w:type="spellEnd"/>
            <w:r w:rsidR="00FF55BB">
              <w:rPr>
                <w:i/>
              </w:rPr>
              <w:t xml:space="preserve"> </w:t>
            </w:r>
            <w:proofErr w:type="spellStart"/>
            <w:r w:rsidR="00FF55BB">
              <w:rPr>
                <w:i/>
              </w:rPr>
              <w:t>lemah</w:t>
            </w:r>
            <w:proofErr w:type="spellEnd"/>
            <w:r w:rsidR="00FF55BB">
              <w:rPr>
                <w:i/>
              </w:rPr>
              <w:t xml:space="preserve">, </w:t>
            </w:r>
            <w:proofErr w:type="spellStart"/>
            <w:r w:rsidR="00FF55BB">
              <w:rPr>
                <w:i/>
              </w:rPr>
              <w:t>kandungan</w:t>
            </w:r>
            <w:proofErr w:type="spellEnd"/>
            <w:r w:rsidR="00FF55BB">
              <w:rPr>
                <w:i/>
              </w:rPr>
              <w:t xml:space="preserve"> air, </w:t>
            </w:r>
            <w:proofErr w:type="spellStart"/>
            <w:r w:rsidR="00FF55BB">
              <w:rPr>
                <w:i/>
              </w:rPr>
              <w:t>suhu</w:t>
            </w:r>
            <w:proofErr w:type="spellEnd"/>
            <w:r w:rsidR="00FF55BB">
              <w:rPr>
                <w:i/>
              </w:rPr>
              <w:t xml:space="preserve">, </w:t>
            </w:r>
            <w:proofErr w:type="spellStart"/>
            <w:r w:rsidR="00FF55BB">
              <w:rPr>
                <w:i/>
              </w:rPr>
              <w:t>qualitas</w:t>
            </w:r>
            <w:proofErr w:type="spellEnd"/>
            <w:r w:rsidR="00FF55BB">
              <w:rPr>
                <w:i/>
              </w:rPr>
              <w:t xml:space="preserve"> </w:t>
            </w:r>
            <w:proofErr w:type="spellStart"/>
            <w:r w:rsidR="00FF55BB">
              <w:rPr>
                <w:i/>
              </w:rPr>
              <w:t>arang</w:t>
            </w:r>
            <w:proofErr w:type="spellEnd"/>
            <w:r w:rsidR="00FF55BB">
              <w:rPr>
                <w:i/>
              </w:rPr>
              <w:t xml:space="preserve">, </w:t>
            </w:r>
            <w:proofErr w:type="spellStart"/>
            <w:r w:rsidR="00FF55BB">
              <w:rPr>
                <w:i/>
              </w:rPr>
              <w:t>d</w:t>
            </w:r>
            <w:r w:rsidRPr="002341AF">
              <w:rPr>
                <w:i/>
              </w:rPr>
              <w:t>a</w:t>
            </w:r>
            <w:r w:rsidR="00FF55BB">
              <w:rPr>
                <w:i/>
              </w:rPr>
              <w:t>n</w:t>
            </w:r>
            <w:proofErr w:type="spellEnd"/>
            <w:r w:rsidR="00FF55BB">
              <w:rPr>
                <w:i/>
              </w:rPr>
              <w:t xml:space="preserve"> </w:t>
            </w:r>
            <w:proofErr w:type="spellStart"/>
            <w:r w:rsidR="00FF55BB">
              <w:rPr>
                <w:i/>
              </w:rPr>
              <w:t>kandungan</w:t>
            </w:r>
            <w:proofErr w:type="spellEnd"/>
            <w:r w:rsidR="00FF55BB">
              <w:rPr>
                <w:i/>
              </w:rPr>
              <w:t xml:space="preserve"> </w:t>
            </w:r>
            <w:proofErr w:type="spellStart"/>
            <w:r w:rsidR="00FF55BB">
              <w:rPr>
                <w:i/>
              </w:rPr>
              <w:t>energi</w:t>
            </w:r>
            <w:proofErr w:type="spellEnd"/>
            <w:r w:rsidR="00FF55BB">
              <w:rPr>
                <w:i/>
              </w:rPr>
              <w:t xml:space="preserve"> </w:t>
            </w:r>
            <w:proofErr w:type="spellStart"/>
            <w:r w:rsidR="00FF55BB">
              <w:rPr>
                <w:i/>
              </w:rPr>
              <w:t>arang</w:t>
            </w:r>
            <w:proofErr w:type="spellEnd"/>
            <w:r w:rsidRPr="002341AF">
              <w:rPr>
                <w:i/>
              </w:rPr>
              <w:t>.</w:t>
            </w:r>
          </w:p>
        </w:tc>
      </w:tr>
    </w:tbl>
    <w:p w14:paraId="00E1AA26" w14:textId="77777777" w:rsidR="00FD3CEC" w:rsidRPr="002B4279" w:rsidRDefault="00FD3CEC" w:rsidP="002B4279">
      <w:pPr>
        <w:pStyle w:val="BodiText"/>
      </w:pPr>
    </w:p>
    <w:p w14:paraId="7B17D83C" w14:textId="2EBCD7EB" w:rsidR="00071E2F" w:rsidRPr="002B4279" w:rsidRDefault="00CA7157" w:rsidP="002B4279">
      <w:pPr>
        <w:pStyle w:val="BodiText"/>
      </w:pPr>
      <w:r w:rsidRPr="002B4279">
        <w:t xml:space="preserve"> </w:t>
      </w:r>
    </w:p>
    <w:p w14:paraId="753B8207" w14:textId="77777777" w:rsidR="000C7C0D" w:rsidRDefault="000C7C0D" w:rsidP="002B4279">
      <w:pPr>
        <w:pStyle w:val="ChapterTitle"/>
        <w:sectPr w:rsidR="000C7C0D" w:rsidSect="002B4279">
          <w:pgSz w:w="11906" w:h="16838" w:code="9"/>
          <w:pgMar w:top="1701" w:right="1701" w:bottom="1701" w:left="1701" w:header="0" w:footer="0" w:gutter="0"/>
          <w:cols w:space="708"/>
          <w:docGrid w:linePitch="360"/>
        </w:sectPr>
      </w:pPr>
    </w:p>
    <w:p w14:paraId="0735F552" w14:textId="764FFA20" w:rsidR="00025A7C" w:rsidRPr="009D6EE5" w:rsidRDefault="00224B67" w:rsidP="002B4279">
      <w:pPr>
        <w:pStyle w:val="ChapterTitle"/>
      </w:pPr>
      <w:r w:rsidRPr="009D6EE5">
        <w:lastRenderedPageBreak/>
        <w:t>I</w:t>
      </w:r>
      <w:r w:rsidR="002B4279">
        <w:t>ntroduction</w:t>
      </w:r>
    </w:p>
    <w:p w14:paraId="5C95113C" w14:textId="77777777" w:rsidR="00224B67" w:rsidRPr="009D6EE5" w:rsidRDefault="00224B67" w:rsidP="002B4279">
      <w:pPr>
        <w:pStyle w:val="BodiText"/>
      </w:pPr>
    </w:p>
    <w:p w14:paraId="2CAEB846" w14:textId="687DEAF4" w:rsidR="0036046F" w:rsidRPr="005237B4" w:rsidRDefault="0036046F" w:rsidP="002B4279">
      <w:pPr>
        <w:pStyle w:val="BodiText"/>
        <w:rPr>
          <w:spacing w:val="-2"/>
        </w:rPr>
      </w:pPr>
      <w:r w:rsidRPr="005237B4">
        <w:rPr>
          <w:spacing w:val="-2"/>
        </w:rPr>
        <w:t>Based on data from the Geological Agency of the Ministry of Energy and Mineral Resources</w:t>
      </w:r>
      <w:r w:rsidR="00DD420A" w:rsidRPr="005237B4">
        <w:rPr>
          <w:spacing w:val="-2"/>
        </w:rPr>
        <w:t xml:space="preserve"> of Indonesia</w:t>
      </w:r>
      <w:r w:rsidRPr="005237B4">
        <w:rPr>
          <w:spacing w:val="-2"/>
        </w:rPr>
        <w:t xml:space="preserve">, </w:t>
      </w:r>
      <w:r w:rsidR="00DD420A" w:rsidRPr="005237B4">
        <w:rPr>
          <w:spacing w:val="-2"/>
        </w:rPr>
        <w:t xml:space="preserve">total of </w:t>
      </w:r>
      <w:r w:rsidRPr="005237B4">
        <w:rPr>
          <w:spacing w:val="-2"/>
        </w:rPr>
        <w:t xml:space="preserve">Indonesia's coal reserves </w:t>
      </w:r>
      <w:r w:rsidR="007823D2" w:rsidRPr="005237B4">
        <w:rPr>
          <w:spacing w:val="-2"/>
        </w:rPr>
        <w:t>was</w:t>
      </w:r>
      <w:r w:rsidRPr="005237B4">
        <w:rPr>
          <w:spacing w:val="-2"/>
        </w:rPr>
        <w:t xml:space="preserve"> 26.2 billion tons in 2019. With </w:t>
      </w:r>
      <w:r w:rsidR="00DD420A" w:rsidRPr="005237B4">
        <w:rPr>
          <w:spacing w:val="-2"/>
        </w:rPr>
        <w:t xml:space="preserve">461 million tons of </w:t>
      </w:r>
      <w:r w:rsidRPr="005237B4">
        <w:rPr>
          <w:spacing w:val="-2"/>
        </w:rPr>
        <w:t xml:space="preserve">coal production </w:t>
      </w:r>
      <w:r w:rsidR="00DD420A" w:rsidRPr="005237B4">
        <w:rPr>
          <w:spacing w:val="-2"/>
        </w:rPr>
        <w:t>in 2018</w:t>
      </w:r>
      <w:r w:rsidRPr="005237B4">
        <w:rPr>
          <w:spacing w:val="-2"/>
        </w:rPr>
        <w:t>, coal resources amounted to 124.6 billion tons. About 60% of the coal reserves cons</w:t>
      </w:r>
      <w:r w:rsidR="00DD420A" w:rsidRPr="005237B4">
        <w:rPr>
          <w:spacing w:val="-2"/>
        </w:rPr>
        <w:t xml:space="preserve">ist of </w:t>
      </w:r>
      <w:r w:rsidRPr="005237B4">
        <w:rPr>
          <w:spacing w:val="-2"/>
        </w:rPr>
        <w:t>low rank coal with</w:t>
      </w:r>
      <w:r w:rsidR="00DD420A" w:rsidRPr="005237B4">
        <w:rPr>
          <w:spacing w:val="-2"/>
        </w:rPr>
        <w:t xml:space="preserve"> &lt;5,100 kcal/kg of</w:t>
      </w:r>
      <w:r w:rsidRPr="005237B4">
        <w:rPr>
          <w:spacing w:val="-2"/>
        </w:rPr>
        <w:t xml:space="preserve"> caloric content. </w:t>
      </w:r>
      <w:r w:rsidR="00061BAE" w:rsidRPr="005237B4">
        <w:rPr>
          <w:spacing w:val="-2"/>
        </w:rPr>
        <w:t xml:space="preserve">Government </w:t>
      </w:r>
      <w:r w:rsidR="00DD420A" w:rsidRPr="005237B4">
        <w:rPr>
          <w:spacing w:val="-2"/>
        </w:rPr>
        <w:t xml:space="preserve">of Indonesia </w:t>
      </w:r>
      <w:r w:rsidR="00061BAE" w:rsidRPr="005237B4">
        <w:rPr>
          <w:spacing w:val="-2"/>
        </w:rPr>
        <w:t>has made</w:t>
      </w:r>
      <w:r w:rsidRPr="005237B4">
        <w:rPr>
          <w:spacing w:val="-2"/>
        </w:rPr>
        <w:t xml:space="preserve"> regulations no 25 </w:t>
      </w:r>
      <w:r w:rsidR="00DD420A" w:rsidRPr="005237B4">
        <w:rPr>
          <w:spacing w:val="-2"/>
        </w:rPr>
        <w:t>in</w:t>
      </w:r>
      <w:r w:rsidRPr="005237B4">
        <w:rPr>
          <w:spacing w:val="-2"/>
        </w:rPr>
        <w:t xml:space="preserve"> 2018 on the Implementation of Mineral and </w:t>
      </w:r>
      <w:r w:rsidRPr="005237B4">
        <w:rPr>
          <w:spacing w:val="-2"/>
        </w:rPr>
        <w:lastRenderedPageBreak/>
        <w:t>Coal Mining Activities to increase added value for mineral and coal commodities.</w:t>
      </w:r>
    </w:p>
    <w:p w14:paraId="41AB770B" w14:textId="77777777" w:rsidR="002B4279" w:rsidRDefault="002B4279" w:rsidP="002B4279">
      <w:pPr>
        <w:pStyle w:val="BodiText"/>
      </w:pPr>
    </w:p>
    <w:p w14:paraId="5343C9BF" w14:textId="0355769A" w:rsidR="00B22E76" w:rsidRPr="005237B4" w:rsidRDefault="00B22E76" w:rsidP="00ED58C1">
      <w:pPr>
        <w:pStyle w:val="BodiText"/>
        <w:rPr>
          <w:spacing w:val="-2"/>
        </w:rPr>
      </w:pPr>
      <w:r w:rsidRPr="005237B4">
        <w:rPr>
          <w:spacing w:val="-2"/>
        </w:rPr>
        <w:t xml:space="preserve">Increasing the quality of coal can be </w:t>
      </w:r>
      <w:r w:rsidR="00DD420A" w:rsidRPr="005237B4">
        <w:rPr>
          <w:spacing w:val="-2"/>
        </w:rPr>
        <w:t xml:space="preserve">done </w:t>
      </w:r>
      <w:r w:rsidRPr="005237B4">
        <w:rPr>
          <w:spacing w:val="-2"/>
        </w:rPr>
        <w:t>through pyrolysis process. Coal pyrolysis is the first stage in all thermal processes of coal utilization such as combustion, carbonization, gasification and thermal enhancement in limited air conditions</w:t>
      </w:r>
      <w:r w:rsidR="00ED58C1" w:rsidRPr="005237B4">
        <w:rPr>
          <w:spacing w:val="-2"/>
        </w:rPr>
        <w:t xml:space="preserve"> (</w:t>
      </w:r>
      <w:proofErr w:type="spellStart"/>
      <w:r w:rsidR="00ED58C1" w:rsidRPr="005237B4">
        <w:rPr>
          <w:spacing w:val="-2"/>
        </w:rPr>
        <w:t>Gavalas</w:t>
      </w:r>
      <w:proofErr w:type="spellEnd"/>
      <w:r w:rsidR="00ED58C1" w:rsidRPr="005237B4">
        <w:rPr>
          <w:spacing w:val="-2"/>
        </w:rPr>
        <w:t>, 1982).</w:t>
      </w:r>
      <w:r w:rsidRPr="005237B4">
        <w:rPr>
          <w:spacing w:val="-2"/>
        </w:rPr>
        <w:t xml:space="preserve"> The pyrolysis process is a thermochemical process in an </w:t>
      </w:r>
      <w:r w:rsidRPr="005237B4">
        <w:rPr>
          <w:i/>
          <w:iCs/>
          <w:spacing w:val="-2"/>
        </w:rPr>
        <w:t xml:space="preserve">inert </w:t>
      </w:r>
      <w:r w:rsidRPr="005237B4">
        <w:rPr>
          <w:spacing w:val="-2"/>
        </w:rPr>
        <w:t xml:space="preserve">or limited oxygen environment in which coal or biomass is slowly heated to a </w:t>
      </w:r>
      <w:r w:rsidRPr="005237B4">
        <w:rPr>
          <w:spacing w:val="-2"/>
        </w:rPr>
        <w:lastRenderedPageBreak/>
        <w:t>certain temperature and held for a set time in such a way as to produce complete degradation of the coal or biomass components to a solid product which has mass and energy gain. the maximum</w:t>
      </w:r>
      <w:r w:rsidR="00ED58C1" w:rsidRPr="005237B4">
        <w:rPr>
          <w:spacing w:val="-2"/>
        </w:rPr>
        <w:t xml:space="preserve"> (</w:t>
      </w:r>
      <w:proofErr w:type="spellStart"/>
      <w:r w:rsidR="00ED58C1" w:rsidRPr="005237B4">
        <w:rPr>
          <w:spacing w:val="-2"/>
        </w:rPr>
        <w:t>Basu</w:t>
      </w:r>
      <w:proofErr w:type="spellEnd"/>
      <w:r w:rsidR="00ED58C1" w:rsidRPr="005237B4">
        <w:rPr>
          <w:spacing w:val="-2"/>
        </w:rPr>
        <w:t>, 2013).</w:t>
      </w:r>
    </w:p>
    <w:p w14:paraId="3163FB25" w14:textId="77777777" w:rsidR="002B4279" w:rsidRPr="00B22E76" w:rsidRDefault="002B4279" w:rsidP="002B4279">
      <w:pPr>
        <w:pStyle w:val="BodiText"/>
      </w:pPr>
    </w:p>
    <w:p w14:paraId="0275775C" w14:textId="1F648780" w:rsidR="00B22E76" w:rsidRPr="005237B4" w:rsidRDefault="00B22E76" w:rsidP="002B4279">
      <w:pPr>
        <w:pStyle w:val="BodiText"/>
        <w:rPr>
          <w:spacing w:val="-2"/>
        </w:rPr>
      </w:pPr>
      <w:r w:rsidRPr="005237B4">
        <w:rPr>
          <w:spacing w:val="-2"/>
        </w:rPr>
        <w:t xml:space="preserve">The </w:t>
      </w:r>
      <w:r w:rsidR="00DD420A" w:rsidRPr="005237B4">
        <w:rPr>
          <w:spacing w:val="-2"/>
        </w:rPr>
        <w:t>suitable</w:t>
      </w:r>
      <w:r w:rsidRPr="005237B4">
        <w:rPr>
          <w:spacing w:val="-2"/>
        </w:rPr>
        <w:t xml:space="preserve"> type of pyrolysis to be developed is </w:t>
      </w:r>
      <w:r w:rsidR="00275988" w:rsidRPr="005237B4">
        <w:rPr>
          <w:spacing w:val="-2"/>
        </w:rPr>
        <w:t>slow pyrolysis</w:t>
      </w:r>
      <w:r w:rsidRPr="005237B4">
        <w:rPr>
          <w:spacing w:val="-2"/>
        </w:rPr>
        <w:t xml:space="preserve"> because </w:t>
      </w:r>
      <w:r w:rsidR="00DD420A" w:rsidRPr="005237B4">
        <w:rPr>
          <w:spacing w:val="-2"/>
        </w:rPr>
        <w:t>beside</w:t>
      </w:r>
      <w:r w:rsidRPr="005237B4">
        <w:rPr>
          <w:spacing w:val="-2"/>
        </w:rPr>
        <w:t xml:space="preserve"> improving the quality of coal, a </w:t>
      </w:r>
      <w:r w:rsidR="004B4E05" w:rsidRPr="005237B4">
        <w:rPr>
          <w:spacing w:val="-2"/>
        </w:rPr>
        <w:t>by-product</w:t>
      </w:r>
      <w:r w:rsidRPr="005237B4">
        <w:rPr>
          <w:spacing w:val="-2"/>
        </w:rPr>
        <w:t xml:space="preserve"> can also be obtained in the form of coal tar which can be </w:t>
      </w:r>
      <w:r w:rsidR="00DD420A" w:rsidRPr="005237B4">
        <w:rPr>
          <w:spacing w:val="-2"/>
        </w:rPr>
        <w:t xml:space="preserve">processed </w:t>
      </w:r>
      <w:r w:rsidRPr="005237B4">
        <w:rPr>
          <w:spacing w:val="-2"/>
        </w:rPr>
        <w:t>further into synthetic crude and coke oven gas</w:t>
      </w:r>
      <w:r w:rsidRPr="005237B4">
        <w:rPr>
          <w:i/>
          <w:iCs/>
          <w:spacing w:val="-2"/>
        </w:rPr>
        <w:t xml:space="preserve"> </w:t>
      </w:r>
      <w:r w:rsidRPr="005237B4">
        <w:rPr>
          <w:spacing w:val="-2"/>
        </w:rPr>
        <w:t xml:space="preserve">(COG). </w:t>
      </w:r>
      <w:r w:rsidR="00275988" w:rsidRPr="005237B4">
        <w:rPr>
          <w:spacing w:val="-2"/>
        </w:rPr>
        <w:t>Slow pyrolysis</w:t>
      </w:r>
      <w:r w:rsidRPr="005237B4">
        <w:rPr>
          <w:i/>
          <w:iCs/>
          <w:spacing w:val="-2"/>
        </w:rPr>
        <w:t xml:space="preserve"> </w:t>
      </w:r>
      <w:r w:rsidRPr="005237B4">
        <w:rPr>
          <w:spacing w:val="-2"/>
        </w:rPr>
        <w:t xml:space="preserve">is pyrolysis which takes place rapidly at temperatures in the range 500 - </w:t>
      </w:r>
      <w:r w:rsidR="00C376BA" w:rsidRPr="005237B4">
        <w:rPr>
          <w:spacing w:val="-2"/>
        </w:rPr>
        <w:t xml:space="preserve">950 </w:t>
      </w:r>
      <w:r w:rsidR="005237B4" w:rsidRPr="005237B4">
        <w:rPr>
          <w:spacing w:val="-2"/>
        </w:rPr>
        <w:t>°</w:t>
      </w:r>
      <w:r w:rsidR="00C376BA" w:rsidRPr="005237B4">
        <w:rPr>
          <w:spacing w:val="-2"/>
        </w:rPr>
        <w:t>C</w:t>
      </w:r>
      <w:r w:rsidRPr="005237B4">
        <w:rPr>
          <w:spacing w:val="-2"/>
        </w:rPr>
        <w:t xml:space="preserve"> with a heating rate of around 10 - 200 °C/s and residence time in the range of 0.5 </w:t>
      </w:r>
      <w:r w:rsidR="00C376BA" w:rsidRPr="005237B4">
        <w:rPr>
          <w:spacing w:val="-2"/>
        </w:rPr>
        <w:t>–</w:t>
      </w:r>
      <w:r w:rsidRPr="005237B4">
        <w:rPr>
          <w:spacing w:val="-2"/>
        </w:rPr>
        <w:t xml:space="preserve"> 10</w:t>
      </w:r>
      <w:r w:rsidR="00C376BA" w:rsidRPr="005237B4">
        <w:rPr>
          <w:spacing w:val="-2"/>
        </w:rPr>
        <w:t xml:space="preserve"> </w:t>
      </w:r>
      <w:r w:rsidRPr="005237B4">
        <w:rPr>
          <w:spacing w:val="-2"/>
        </w:rPr>
        <w:t>s</w:t>
      </w:r>
      <w:r w:rsidR="00ED58C1" w:rsidRPr="005237B4">
        <w:rPr>
          <w:spacing w:val="-2"/>
        </w:rPr>
        <w:t xml:space="preserve"> (</w:t>
      </w:r>
      <w:proofErr w:type="spellStart"/>
      <w:r w:rsidR="00ED58C1" w:rsidRPr="005237B4">
        <w:rPr>
          <w:spacing w:val="-2"/>
        </w:rPr>
        <w:t>Babu</w:t>
      </w:r>
      <w:proofErr w:type="spellEnd"/>
      <w:r w:rsidR="00ED58C1" w:rsidRPr="005237B4">
        <w:rPr>
          <w:spacing w:val="-2"/>
        </w:rPr>
        <w:t xml:space="preserve">, 2008). </w:t>
      </w:r>
      <w:r w:rsidR="00275988" w:rsidRPr="005237B4">
        <w:rPr>
          <w:spacing w:val="-2"/>
        </w:rPr>
        <w:t>Slow pyrolysis</w:t>
      </w:r>
      <w:r w:rsidRPr="005237B4">
        <w:rPr>
          <w:spacing w:val="-2"/>
        </w:rPr>
        <w:t xml:space="preserve"> is able to improve coal quality by improving its proximate, ultimate</w:t>
      </w:r>
      <w:r w:rsidR="00C376BA" w:rsidRPr="005237B4">
        <w:rPr>
          <w:spacing w:val="-2"/>
        </w:rPr>
        <w:t>,</w:t>
      </w:r>
      <w:r w:rsidRPr="005237B4">
        <w:rPr>
          <w:spacing w:val="-2"/>
        </w:rPr>
        <w:t xml:space="preserve"> and heating value characteristics. The characteristic calorific value increases because the O/C ratio and the H/C ratio decrease during the </w:t>
      </w:r>
      <w:r w:rsidR="00275988" w:rsidRPr="005237B4">
        <w:rPr>
          <w:spacing w:val="-2"/>
        </w:rPr>
        <w:t>slow pyrolysis</w:t>
      </w:r>
      <w:r w:rsidRPr="005237B4">
        <w:rPr>
          <w:i/>
          <w:iCs/>
          <w:spacing w:val="-2"/>
        </w:rPr>
        <w:t xml:space="preserve"> </w:t>
      </w:r>
      <w:r w:rsidR="00C538FF" w:rsidRPr="005237B4">
        <w:rPr>
          <w:spacing w:val="-2"/>
        </w:rPr>
        <w:t>process.</w:t>
      </w:r>
      <w:r w:rsidRPr="005237B4">
        <w:rPr>
          <w:spacing w:val="-2"/>
        </w:rPr>
        <w:t xml:space="preserve"> When the ratio of hydrogen to carbon (H/C) decreases, the heating value of coal increases</w:t>
      </w:r>
      <w:r w:rsidR="00ED58C1" w:rsidRPr="005237B4">
        <w:rPr>
          <w:spacing w:val="-2"/>
        </w:rPr>
        <w:t xml:space="preserve"> (</w:t>
      </w:r>
      <w:proofErr w:type="spellStart"/>
      <w:r w:rsidR="00ED58C1" w:rsidRPr="005237B4">
        <w:rPr>
          <w:spacing w:val="-2"/>
        </w:rPr>
        <w:t>Basu</w:t>
      </w:r>
      <w:proofErr w:type="spellEnd"/>
      <w:r w:rsidR="00ED58C1" w:rsidRPr="005237B4">
        <w:rPr>
          <w:spacing w:val="-2"/>
        </w:rPr>
        <w:t>, 2013)</w:t>
      </w:r>
      <w:r w:rsidRPr="005237B4">
        <w:rPr>
          <w:spacing w:val="-2"/>
        </w:rPr>
        <w:t>. Increasing the quality of coal will increase the price of coal.</w:t>
      </w:r>
    </w:p>
    <w:p w14:paraId="654F5746" w14:textId="77777777" w:rsidR="002B4279" w:rsidRPr="00B22E76" w:rsidRDefault="002B4279" w:rsidP="002B4279">
      <w:pPr>
        <w:pStyle w:val="BodiText"/>
      </w:pPr>
    </w:p>
    <w:p w14:paraId="133B57BA" w14:textId="5C5D2CD0" w:rsidR="00B22E76" w:rsidRPr="009D6EE5" w:rsidRDefault="00B22E76" w:rsidP="002B4279">
      <w:pPr>
        <w:pStyle w:val="BodiText"/>
      </w:pPr>
      <w:r w:rsidRPr="00B22E76">
        <w:t xml:space="preserve">The characteristics of the solid product </w:t>
      </w:r>
      <w:r w:rsidR="00DD420A">
        <w:t xml:space="preserve">from </w:t>
      </w:r>
      <w:r w:rsidR="00275988" w:rsidRPr="00275988">
        <w:t>slow pyrolysis</w:t>
      </w:r>
      <w:r w:rsidR="00EB3C01">
        <w:t xml:space="preserve"> process</w:t>
      </w:r>
      <w:r w:rsidRPr="00B22E76">
        <w:rPr>
          <w:i/>
          <w:iCs/>
        </w:rPr>
        <w:t xml:space="preserve"> </w:t>
      </w:r>
      <w:r w:rsidRPr="00B22E76">
        <w:t xml:space="preserve">(high quality coal) are influenced by the parameters of the </w:t>
      </w:r>
      <w:r w:rsidR="00275988" w:rsidRPr="00275988">
        <w:t>slow pyrolysis</w:t>
      </w:r>
      <w:r w:rsidRPr="00B22E76">
        <w:rPr>
          <w:i/>
          <w:iCs/>
        </w:rPr>
        <w:t xml:space="preserve"> </w:t>
      </w:r>
      <w:r w:rsidR="00C538FF" w:rsidRPr="00B22E76">
        <w:t>process.</w:t>
      </w:r>
      <w:r w:rsidRPr="00B22E76">
        <w:t xml:space="preserve"> Some of the parameters that affect the </w:t>
      </w:r>
      <w:r w:rsidR="00275988" w:rsidRPr="00275988">
        <w:t>slow pyrolysis</w:t>
      </w:r>
      <w:r w:rsidRPr="00B22E76">
        <w:rPr>
          <w:i/>
          <w:iCs/>
        </w:rPr>
        <w:t xml:space="preserve"> </w:t>
      </w:r>
      <w:r w:rsidRPr="00B22E76">
        <w:t>process are the temperature</w:t>
      </w:r>
      <w:r w:rsidR="00EB3C01">
        <w:t>,</w:t>
      </w:r>
      <w:r w:rsidRPr="00B22E76">
        <w:t xml:space="preserve"> </w:t>
      </w:r>
      <w:r w:rsidR="00EB3C01" w:rsidRPr="00B22E76">
        <w:t>pressure</w:t>
      </w:r>
      <w:r w:rsidR="00EB3C01">
        <w:t>, duration,</w:t>
      </w:r>
      <w:r w:rsidR="00EB3C01" w:rsidRPr="00B22E76">
        <w:t xml:space="preserve"> heating rate </w:t>
      </w:r>
      <w:r w:rsidRPr="00B22E76">
        <w:t xml:space="preserve">of the </w:t>
      </w:r>
      <w:r w:rsidR="00275988" w:rsidRPr="00275988">
        <w:t>slow pyrolysis</w:t>
      </w:r>
      <w:r w:rsidR="00EB3C01">
        <w:t xml:space="preserve"> process</w:t>
      </w:r>
      <w:r w:rsidR="00C538FF" w:rsidRPr="00B22E76">
        <w:rPr>
          <w:i/>
          <w:iCs/>
        </w:rPr>
        <w:t>,</w:t>
      </w:r>
      <w:r w:rsidRPr="00B22E76">
        <w:t xml:space="preserve"> the moisture </w:t>
      </w:r>
      <w:r w:rsidRPr="00B22E76">
        <w:lastRenderedPageBreak/>
        <w:t>content of the coal, the size of the coal particles</w:t>
      </w:r>
      <w:r w:rsidR="00C538FF" w:rsidRPr="00B22E76">
        <w:t>,</w:t>
      </w:r>
      <w:r w:rsidRPr="00B22E76">
        <w:t xml:space="preserve"> the height of the reactor bed and the nitrogen gas flow rate. Several researchers </w:t>
      </w:r>
      <w:r w:rsidR="00EB3C01">
        <w:t>experienced</w:t>
      </w:r>
      <w:r w:rsidRPr="00B22E76">
        <w:t xml:space="preserve"> with the pyrolysis process by producing a low pyrolysis process temperature range between 200 - 300 °C</w:t>
      </w:r>
      <w:r w:rsidR="000C7C0D">
        <w:t xml:space="preserve"> (Bergman and</w:t>
      </w:r>
      <w:r w:rsidR="000C7C0D" w:rsidRPr="000C7C0D">
        <w:t xml:space="preserve"> Kiel, 2005</w:t>
      </w:r>
      <w:r w:rsidR="000C7C0D">
        <w:t xml:space="preserve">; </w:t>
      </w:r>
      <w:proofErr w:type="spellStart"/>
      <w:r w:rsidR="000C7C0D" w:rsidRPr="000C7C0D">
        <w:t>Tumuluru</w:t>
      </w:r>
      <w:proofErr w:type="spellEnd"/>
      <w:r w:rsidR="000C7C0D" w:rsidRPr="000C7C0D">
        <w:t xml:space="preserve"> </w:t>
      </w:r>
      <w:r w:rsidR="000C7C0D" w:rsidRPr="000C7C0D">
        <w:rPr>
          <w:i/>
        </w:rPr>
        <w:t>et al.</w:t>
      </w:r>
      <w:r w:rsidR="000C7C0D">
        <w:t>,</w:t>
      </w:r>
      <w:r w:rsidR="000C7C0D" w:rsidRPr="000C7C0D">
        <w:t xml:space="preserve"> 2011</w:t>
      </w:r>
      <w:r w:rsidR="000C7C0D">
        <w:t xml:space="preserve">; </w:t>
      </w:r>
      <w:proofErr w:type="spellStart"/>
      <w:r w:rsidR="000C7C0D">
        <w:t>Rouset</w:t>
      </w:r>
      <w:proofErr w:type="spellEnd"/>
      <w:r w:rsidR="000C7C0D" w:rsidRPr="000C7C0D">
        <w:t xml:space="preserve"> </w:t>
      </w:r>
      <w:r w:rsidR="000C7C0D" w:rsidRPr="000C7C0D">
        <w:rPr>
          <w:i/>
        </w:rPr>
        <w:t>et al.</w:t>
      </w:r>
      <w:r w:rsidR="000C7C0D" w:rsidRPr="000C7C0D">
        <w:t>, 2012</w:t>
      </w:r>
      <w:r w:rsidR="000C7C0D">
        <w:t xml:space="preserve">; </w:t>
      </w:r>
      <w:proofErr w:type="spellStart"/>
      <w:r w:rsidR="000C7C0D">
        <w:t>Sadak</w:t>
      </w:r>
      <w:proofErr w:type="spellEnd"/>
      <w:r w:rsidR="000C7C0D">
        <w:t xml:space="preserve"> and </w:t>
      </w:r>
      <w:proofErr w:type="spellStart"/>
      <w:r w:rsidR="000C7C0D">
        <w:t>Negi</w:t>
      </w:r>
      <w:proofErr w:type="spellEnd"/>
      <w:r w:rsidR="000C7C0D">
        <w:t xml:space="preserve">, </w:t>
      </w:r>
      <w:r w:rsidR="000C7C0D" w:rsidRPr="000C7C0D">
        <w:t>2009)</w:t>
      </w:r>
      <w:r w:rsidRPr="00B22E76">
        <w:t xml:space="preserve">. </w:t>
      </w:r>
      <w:r w:rsidR="00EB3C01">
        <w:t xml:space="preserve">The result of their coal </w:t>
      </w:r>
      <w:r w:rsidR="00EB3C01" w:rsidRPr="00B22E76">
        <w:t xml:space="preserve">pyrolysis </w:t>
      </w:r>
      <w:r w:rsidR="00EB3C01">
        <w:t>r</w:t>
      </w:r>
      <w:r w:rsidRPr="00B22E76">
        <w:t xml:space="preserve">esearch </w:t>
      </w:r>
      <w:r w:rsidR="00EB3C01">
        <w:t>showed</w:t>
      </w:r>
      <w:r w:rsidRPr="00B22E76">
        <w:t xml:space="preserve"> that the </w:t>
      </w:r>
      <w:r w:rsidR="00EB3C01" w:rsidRPr="00B22E76">
        <w:t>coal</w:t>
      </w:r>
      <w:r w:rsidRPr="00B22E76">
        <w:t xml:space="preserve"> pyrolysis </w:t>
      </w:r>
      <w:r w:rsidR="00EB3C01" w:rsidRPr="00B22E76">
        <w:t>process</w:t>
      </w:r>
      <w:r w:rsidRPr="00B22E76">
        <w:t xml:space="preserve"> </w:t>
      </w:r>
      <w:r w:rsidR="007823D2">
        <w:t>was</w:t>
      </w:r>
      <w:r w:rsidRPr="00B22E76">
        <w:t xml:space="preserve"> able </w:t>
      </w:r>
      <w:r w:rsidR="0065243A">
        <w:t xml:space="preserve">to </w:t>
      </w:r>
      <w:r w:rsidRPr="00B22E76">
        <w:t>produc</w:t>
      </w:r>
      <w:r w:rsidR="0065243A">
        <w:t>e</w:t>
      </w:r>
      <w:r w:rsidRPr="00B22E76">
        <w:t xml:space="preserve"> coal that has higher heating value than the </w:t>
      </w:r>
      <w:r w:rsidR="008B79D3">
        <w:t>feed</w:t>
      </w:r>
      <w:r w:rsidRPr="00B22E76">
        <w:t>.  Th</w:t>
      </w:r>
      <w:r w:rsidR="0065243A">
        <w:t>e purpose of this</w:t>
      </w:r>
      <w:r w:rsidRPr="00B22E76">
        <w:t xml:space="preserve"> study </w:t>
      </w:r>
      <w:r w:rsidR="007823D2">
        <w:t>was</w:t>
      </w:r>
      <w:r w:rsidRPr="00B22E76">
        <w:t xml:space="preserve"> to determine the effect of </w:t>
      </w:r>
      <w:r w:rsidR="00275988" w:rsidRPr="00275988">
        <w:t>slow pyrolysis</w:t>
      </w:r>
      <w:r w:rsidRPr="00B22E76">
        <w:rPr>
          <w:i/>
          <w:iCs/>
        </w:rPr>
        <w:t xml:space="preserve"> </w:t>
      </w:r>
      <w:r w:rsidRPr="00B22E76">
        <w:t xml:space="preserve">temperature and coal moisture content </w:t>
      </w:r>
      <w:r w:rsidR="00954D1C">
        <w:t>to</w:t>
      </w:r>
      <w:r w:rsidRPr="00B22E76">
        <w:t xml:space="preserve"> </w:t>
      </w:r>
      <w:r w:rsidR="00954D1C" w:rsidRPr="00B22E76">
        <w:t xml:space="preserve">coal product </w:t>
      </w:r>
      <w:r w:rsidR="002B4279">
        <w:t>quality.</w:t>
      </w:r>
    </w:p>
    <w:p w14:paraId="7EF6D4E6" w14:textId="5A8A8F47" w:rsidR="00025A7C" w:rsidRDefault="00025A7C" w:rsidP="002B4279">
      <w:pPr>
        <w:pStyle w:val="BodiText"/>
      </w:pPr>
    </w:p>
    <w:p w14:paraId="10A78EE8" w14:textId="77777777" w:rsidR="002B4279" w:rsidRPr="009D6EE5" w:rsidRDefault="002B4279" w:rsidP="002B4279">
      <w:pPr>
        <w:pStyle w:val="BodiText"/>
      </w:pPr>
    </w:p>
    <w:p w14:paraId="5E52839F" w14:textId="686429F8" w:rsidR="00025A7C" w:rsidRPr="009D6EE5" w:rsidRDefault="00224B67" w:rsidP="002B4279">
      <w:pPr>
        <w:pStyle w:val="ChapterTitle"/>
      </w:pPr>
      <w:r w:rsidRPr="009D6EE5">
        <w:t>Experimental details</w:t>
      </w:r>
    </w:p>
    <w:p w14:paraId="351015A8" w14:textId="77777777" w:rsidR="005309CD" w:rsidRPr="009D6EE5" w:rsidRDefault="005309CD" w:rsidP="002B4279">
      <w:pPr>
        <w:pStyle w:val="BodiText"/>
      </w:pPr>
    </w:p>
    <w:p w14:paraId="1E906592" w14:textId="226C5208" w:rsidR="00025A7C" w:rsidRPr="009D6EE5" w:rsidRDefault="008D0551" w:rsidP="002B4279">
      <w:pPr>
        <w:pStyle w:val="SectionTitle"/>
      </w:pPr>
      <w:r w:rsidRPr="009D6EE5">
        <w:t xml:space="preserve">Equipment and </w:t>
      </w:r>
      <w:r w:rsidR="002B4279" w:rsidRPr="009D6EE5">
        <w:t>Material</w:t>
      </w:r>
    </w:p>
    <w:p w14:paraId="3BFE6F65" w14:textId="77777777" w:rsidR="00224B67" w:rsidRPr="009D6EE5" w:rsidRDefault="00224B67" w:rsidP="002B4279">
      <w:pPr>
        <w:pStyle w:val="BodiText"/>
      </w:pPr>
    </w:p>
    <w:p w14:paraId="52BDD658" w14:textId="004731AC" w:rsidR="009345C9" w:rsidRPr="00DD2C68" w:rsidRDefault="002C5654" w:rsidP="002B4279">
      <w:pPr>
        <w:pStyle w:val="BodiText"/>
      </w:pPr>
      <w:r w:rsidRPr="002C5654">
        <w:t xml:space="preserve">The equipment used in this study </w:t>
      </w:r>
      <w:r w:rsidR="00954D1C">
        <w:t xml:space="preserve">were </w:t>
      </w:r>
      <w:r w:rsidR="00BC429A">
        <w:t xml:space="preserve">coal screw feeder, </w:t>
      </w:r>
      <w:r w:rsidRPr="002C5654">
        <w:t>fixed bed reactor, heat exchanger (HE)/condenser</w:t>
      </w:r>
      <w:r w:rsidR="00697ABE">
        <w:t>, and coal gas analyzer</w:t>
      </w:r>
      <w:r w:rsidRPr="002C5654">
        <w:t xml:space="preserve">. Fixed bed reactor </w:t>
      </w:r>
      <w:r w:rsidR="00954D1C">
        <w:t xml:space="preserve">were </w:t>
      </w:r>
      <w:r w:rsidRPr="002C5654">
        <w:t xml:space="preserve">made of quartz glass and equipped with electric heaters. The condenser cools and condenses liquid products (water and tar) carried in </w:t>
      </w:r>
      <w:r w:rsidR="00C34D45">
        <w:t>non-condensable gas (</w:t>
      </w:r>
      <w:r w:rsidRPr="002C5654">
        <w:t>NCG</w:t>
      </w:r>
      <w:r w:rsidR="00C34D45">
        <w:t>)</w:t>
      </w:r>
      <w:r w:rsidRPr="002C5654">
        <w:t xml:space="preserve"> products. The test equipment</w:t>
      </w:r>
      <w:r w:rsidR="00954D1C">
        <w:t xml:space="preserve"> configuration</w:t>
      </w:r>
      <w:r w:rsidRPr="002C5654">
        <w:t xml:space="preserve"> can be seen in Figure </w:t>
      </w:r>
      <w:r w:rsidR="002B4279">
        <w:t>1</w:t>
      </w:r>
      <w:r w:rsidR="00697ABE">
        <w:t xml:space="preserve">. </w:t>
      </w:r>
      <w:r w:rsidR="009345C9" w:rsidRPr="002C5654">
        <w:t>The materials used in t</w:t>
      </w:r>
      <w:r w:rsidR="00954D1C">
        <w:t>his</w:t>
      </w:r>
      <w:r w:rsidR="009345C9" w:rsidRPr="002C5654">
        <w:t xml:space="preserve"> study consisted of </w:t>
      </w:r>
      <w:r w:rsidR="009345C9">
        <w:t>coal</w:t>
      </w:r>
      <w:r w:rsidR="009345C9" w:rsidRPr="002C5654">
        <w:t>, nitrogen gas (N</w:t>
      </w:r>
      <w:r w:rsidR="009345C9" w:rsidRPr="00697ABE">
        <w:rPr>
          <w:vertAlign w:val="subscript"/>
        </w:rPr>
        <w:t>2</w:t>
      </w:r>
      <w:r w:rsidR="009345C9" w:rsidRPr="002C5654">
        <w:t xml:space="preserve">), and </w:t>
      </w:r>
      <w:proofErr w:type="spellStart"/>
      <w:r w:rsidR="009345C9" w:rsidRPr="002C5654">
        <w:t>anisol</w:t>
      </w:r>
      <w:proofErr w:type="spellEnd"/>
      <w:r w:rsidR="009345C9" w:rsidRPr="002C5654">
        <w:t xml:space="preserve"> (benzene </w:t>
      </w:r>
      <w:proofErr w:type="spellStart"/>
      <w:r w:rsidR="009345C9" w:rsidRPr="002C5654">
        <w:t>methoxy</w:t>
      </w:r>
      <w:proofErr w:type="spellEnd"/>
      <w:r w:rsidR="009345C9" w:rsidRPr="002C5654">
        <w:t xml:space="preserve">). </w:t>
      </w:r>
    </w:p>
    <w:p w14:paraId="7A4986F6" w14:textId="77777777" w:rsidR="000C7C0D" w:rsidRDefault="000C7C0D" w:rsidP="002B4279">
      <w:pPr>
        <w:pStyle w:val="BodiText"/>
        <w:sectPr w:rsidR="000C7C0D" w:rsidSect="000C7C0D">
          <w:type w:val="continuous"/>
          <w:pgSz w:w="11906" w:h="16838" w:code="9"/>
          <w:pgMar w:top="1701" w:right="1701" w:bottom="1701" w:left="1701" w:header="0" w:footer="0" w:gutter="0"/>
          <w:cols w:num="2" w:space="567"/>
          <w:docGrid w:linePitch="360"/>
        </w:sectPr>
      </w:pPr>
    </w:p>
    <w:p w14:paraId="0A9A1A26" w14:textId="7F12B429" w:rsidR="002C5654" w:rsidRDefault="002C5654" w:rsidP="002B4279">
      <w:pPr>
        <w:pStyle w:val="BodiText"/>
      </w:pPr>
    </w:p>
    <w:p w14:paraId="0B96983C" w14:textId="77777777" w:rsidR="005237B4" w:rsidRPr="009345C9" w:rsidRDefault="005237B4" w:rsidP="002B4279">
      <w:pPr>
        <w:pStyle w:val="BodiText"/>
      </w:pPr>
    </w:p>
    <w:p w14:paraId="70BEC69F" w14:textId="417C77ED" w:rsidR="00492826" w:rsidRDefault="00275988" w:rsidP="002B4279">
      <w:pPr>
        <w:pStyle w:val="FigureTitle"/>
        <w:rPr>
          <w:rFonts w:ascii="Times New Roman" w:hAnsi="Times New Roman" w:cs="Times New Roman"/>
          <w:lang w:eastAsia="ja-JP"/>
        </w:rPr>
      </w:pPr>
      <w:r w:rsidRPr="00275988">
        <w:rPr>
          <w:noProof/>
          <w:lang w:eastAsia="en-US"/>
        </w:rPr>
        <w:drawing>
          <wp:inline distT="0" distB="0" distL="0" distR="0" wp14:anchorId="558D554B" wp14:editId="55B5200A">
            <wp:extent cx="5184251" cy="281618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92491" cy="2820661"/>
                    </a:xfrm>
                    <a:prstGeom prst="rect">
                      <a:avLst/>
                    </a:prstGeom>
                    <a:noFill/>
                    <a:ln>
                      <a:noFill/>
                    </a:ln>
                  </pic:spPr>
                </pic:pic>
              </a:graphicData>
            </a:graphic>
          </wp:inline>
        </w:drawing>
      </w:r>
    </w:p>
    <w:p w14:paraId="5F118C1F" w14:textId="77777777" w:rsidR="002B4279" w:rsidRPr="002B4279" w:rsidRDefault="002B4279" w:rsidP="002B4279">
      <w:pPr>
        <w:pStyle w:val="FigureTitle"/>
      </w:pPr>
    </w:p>
    <w:p w14:paraId="17617448" w14:textId="51312F43" w:rsidR="00025A7C" w:rsidRPr="002B4279" w:rsidRDefault="00F34F4B" w:rsidP="002B4279">
      <w:pPr>
        <w:pStyle w:val="FigureTitle"/>
      </w:pPr>
      <w:r w:rsidRPr="002B4279">
        <w:t xml:space="preserve">Figure </w:t>
      </w:r>
      <w:r w:rsidRPr="002B4279">
        <w:rPr>
          <w:iCs/>
        </w:rPr>
        <w:t>1</w:t>
      </w:r>
      <w:r w:rsidRPr="002B4279">
        <w:t xml:space="preserve">. </w:t>
      </w:r>
      <w:r w:rsidR="00294856" w:rsidRPr="002B4279">
        <w:rPr>
          <w:lang w:eastAsia="ja-JP"/>
        </w:rPr>
        <w:t xml:space="preserve">Test equipment configuration </w:t>
      </w:r>
      <w:r w:rsidRPr="002B4279">
        <w:t>of pyrolysis</w:t>
      </w:r>
      <w:r w:rsidR="00294856" w:rsidRPr="002B4279">
        <w:t xml:space="preserve"> process</w:t>
      </w:r>
    </w:p>
    <w:p w14:paraId="0223C3AC" w14:textId="6EAF0B78" w:rsidR="000C7C0D" w:rsidRPr="009D6EE5" w:rsidRDefault="000C7C0D" w:rsidP="002B4279">
      <w:pPr>
        <w:pStyle w:val="BodiText"/>
      </w:pPr>
    </w:p>
    <w:p w14:paraId="11ED7404" w14:textId="77777777" w:rsidR="00FF55BB" w:rsidRDefault="00FF55BB" w:rsidP="002B4279">
      <w:pPr>
        <w:pStyle w:val="SectionTitle"/>
        <w:sectPr w:rsidR="00FF55BB" w:rsidSect="000C7C0D">
          <w:type w:val="continuous"/>
          <w:pgSz w:w="11906" w:h="16838" w:code="9"/>
          <w:pgMar w:top="1701" w:right="1701" w:bottom="1701" w:left="1701" w:header="0" w:footer="0" w:gutter="0"/>
          <w:cols w:space="708"/>
          <w:docGrid w:linePitch="360"/>
        </w:sectPr>
      </w:pPr>
    </w:p>
    <w:p w14:paraId="19227CF2" w14:textId="37C16932" w:rsidR="00025A7C" w:rsidRPr="009D6EE5" w:rsidRDefault="00DA65F3" w:rsidP="002B4279">
      <w:pPr>
        <w:pStyle w:val="SectionTitle"/>
      </w:pPr>
      <w:r w:rsidRPr="009D6EE5">
        <w:lastRenderedPageBreak/>
        <w:t xml:space="preserve">Experiment </w:t>
      </w:r>
      <w:r w:rsidR="002B4279" w:rsidRPr="009D6EE5">
        <w:t>Procedure</w:t>
      </w:r>
    </w:p>
    <w:p w14:paraId="204348CD" w14:textId="1E14546A" w:rsidR="00DA65F3" w:rsidRPr="009D6EE5" w:rsidRDefault="00DA65F3" w:rsidP="002B4279">
      <w:pPr>
        <w:pStyle w:val="BodiText"/>
      </w:pPr>
    </w:p>
    <w:p w14:paraId="18EA154E" w14:textId="53C81A31" w:rsidR="00097407" w:rsidRDefault="00097407" w:rsidP="002B4279">
      <w:pPr>
        <w:pStyle w:val="BodiText"/>
      </w:pPr>
      <w:r w:rsidRPr="00097407">
        <w:t xml:space="preserve">There </w:t>
      </w:r>
      <w:r w:rsidR="00D05069">
        <w:t>were</w:t>
      </w:r>
      <w:r w:rsidRPr="00097407">
        <w:t xml:space="preserve"> two variables in this study. The </w:t>
      </w:r>
      <w:r w:rsidR="00787215">
        <w:rPr>
          <w:lang w:val="en-ID"/>
        </w:rPr>
        <w:t>f</w:t>
      </w:r>
      <w:proofErr w:type="spellStart"/>
      <w:r w:rsidRPr="00097407">
        <w:t>irst</w:t>
      </w:r>
      <w:proofErr w:type="spellEnd"/>
      <w:r w:rsidRPr="00097407">
        <w:t xml:space="preserve"> </w:t>
      </w:r>
      <w:r w:rsidR="00A63485">
        <w:t xml:space="preserve">variable </w:t>
      </w:r>
      <w:r w:rsidR="00D05069">
        <w:t>was</w:t>
      </w:r>
      <w:r w:rsidRPr="00097407">
        <w:t xml:space="preserve"> fixed </w:t>
      </w:r>
      <w:r w:rsidR="00A63485">
        <w:t xml:space="preserve">variable </w:t>
      </w:r>
      <w:r w:rsidRPr="00097407">
        <w:t xml:space="preserve">condition: </w:t>
      </w:r>
      <w:r w:rsidR="00F374B7">
        <w:t>20 gram/hour</w:t>
      </w:r>
      <w:r w:rsidRPr="00097407">
        <w:t xml:space="preserve"> of </w:t>
      </w:r>
      <w:r w:rsidR="00F374B7">
        <w:t xml:space="preserve">coal </w:t>
      </w:r>
      <w:r w:rsidRPr="00097407">
        <w:t xml:space="preserve">and -32+42 mesh of </w:t>
      </w:r>
      <w:r w:rsidR="00F374B7">
        <w:t>coal</w:t>
      </w:r>
      <w:r w:rsidRPr="00097407">
        <w:t xml:space="preserve"> size. The second variable</w:t>
      </w:r>
      <w:r w:rsidR="00F374B7">
        <w:t xml:space="preserve"> </w:t>
      </w:r>
      <w:r w:rsidR="00D05069">
        <w:t>was</w:t>
      </w:r>
      <w:r w:rsidR="00A63485">
        <w:t xml:space="preserve"> changed variable which consisted of reactor temperatures (</w:t>
      </w:r>
      <w:r w:rsidR="007C1103">
        <w:t>500</w:t>
      </w:r>
      <w:r w:rsidRPr="00097407">
        <w:t xml:space="preserve">, </w:t>
      </w:r>
      <w:r w:rsidR="007C1103">
        <w:t>600</w:t>
      </w:r>
      <w:r w:rsidRPr="00097407">
        <w:t xml:space="preserve">, </w:t>
      </w:r>
      <w:r w:rsidR="007C1103">
        <w:t xml:space="preserve">700, </w:t>
      </w:r>
      <w:r w:rsidRPr="00097407">
        <w:t xml:space="preserve">and </w:t>
      </w:r>
      <w:r w:rsidR="007C1103">
        <w:t xml:space="preserve">800 </w:t>
      </w:r>
      <w:r w:rsidR="005514E2">
        <w:t>º</w:t>
      </w:r>
      <w:r w:rsidRPr="00097407">
        <w:t>C</w:t>
      </w:r>
      <w:r w:rsidR="00A63485">
        <w:t>)</w:t>
      </w:r>
      <w:r w:rsidR="00DD2C68">
        <w:t xml:space="preserve"> and moisture of coal</w:t>
      </w:r>
      <w:r w:rsidR="00A63485">
        <w:t xml:space="preserve"> (</w:t>
      </w:r>
      <w:r w:rsidR="00F94B59">
        <w:t>10.57</w:t>
      </w:r>
      <w:r w:rsidR="005514E2">
        <w:t xml:space="preserve"> </w:t>
      </w:r>
      <w:proofErr w:type="spellStart"/>
      <w:r w:rsidR="005514E2">
        <w:t>wt</w:t>
      </w:r>
      <w:proofErr w:type="spellEnd"/>
      <w:r w:rsidR="00F94B59">
        <w:t xml:space="preserve">% </w:t>
      </w:r>
      <w:proofErr w:type="spellStart"/>
      <w:r w:rsidR="00F94B59">
        <w:t>adb</w:t>
      </w:r>
      <w:proofErr w:type="spellEnd"/>
      <w:r w:rsidR="00F94B59">
        <w:t xml:space="preserve"> </w:t>
      </w:r>
      <w:r w:rsidR="00A63485">
        <w:t xml:space="preserve">of </w:t>
      </w:r>
      <w:r w:rsidR="00F94B59">
        <w:t>Coal A</w:t>
      </w:r>
      <w:r w:rsidR="00A63485">
        <w:t xml:space="preserve"> </w:t>
      </w:r>
      <w:r w:rsidR="00F94B59">
        <w:t>and</w:t>
      </w:r>
      <w:r w:rsidR="00DD2C68">
        <w:t xml:space="preserve"> 16.86</w:t>
      </w:r>
      <w:r w:rsidR="005514E2">
        <w:t xml:space="preserve"> </w:t>
      </w:r>
      <w:proofErr w:type="spellStart"/>
      <w:r w:rsidR="005514E2">
        <w:t>wt</w:t>
      </w:r>
      <w:proofErr w:type="spellEnd"/>
      <w:r w:rsidR="00DD2C68">
        <w:t xml:space="preserve">% </w:t>
      </w:r>
      <w:proofErr w:type="spellStart"/>
      <w:r w:rsidR="00DD2C68">
        <w:t>adb</w:t>
      </w:r>
      <w:proofErr w:type="spellEnd"/>
      <w:r w:rsidR="00A63485">
        <w:t xml:space="preserve"> of </w:t>
      </w:r>
      <w:r w:rsidR="00F94B59">
        <w:t>Coal B</w:t>
      </w:r>
      <w:r w:rsidR="00A63485">
        <w:t>)</w:t>
      </w:r>
      <w:r w:rsidR="00DD2C68">
        <w:t xml:space="preserve">. </w:t>
      </w:r>
      <w:r w:rsidRPr="00097407">
        <w:t xml:space="preserve">Experimental procedures performed in this study </w:t>
      </w:r>
      <w:r w:rsidR="00A63485">
        <w:t xml:space="preserve">were </w:t>
      </w:r>
      <w:r w:rsidRPr="00097407">
        <w:t>preparation and testing, the yield of pyrolysis products</w:t>
      </w:r>
      <w:r w:rsidR="00A63485" w:rsidRPr="00A63485">
        <w:t xml:space="preserve"> </w:t>
      </w:r>
      <w:r w:rsidR="00A63485" w:rsidRPr="00097407">
        <w:t>measur</w:t>
      </w:r>
      <w:r w:rsidR="00A63485">
        <w:t>ement</w:t>
      </w:r>
      <w:r w:rsidRPr="00097407">
        <w:t xml:space="preserve">, </w:t>
      </w:r>
      <w:r w:rsidR="00DF77E3" w:rsidRPr="00097407">
        <w:t xml:space="preserve">the quality of char </w:t>
      </w:r>
      <w:r w:rsidRPr="00097407">
        <w:t>determin</w:t>
      </w:r>
      <w:r w:rsidR="00DF77E3">
        <w:t>ation</w:t>
      </w:r>
      <w:r w:rsidRPr="00097407">
        <w:t xml:space="preserve">, and </w:t>
      </w:r>
      <w:r w:rsidRPr="00FA68B8">
        <w:t>material balance</w:t>
      </w:r>
      <w:r w:rsidR="00DF77E3" w:rsidRPr="00DF77E3">
        <w:t xml:space="preserve"> </w:t>
      </w:r>
      <w:r w:rsidR="00DF77E3" w:rsidRPr="00FA68B8">
        <w:t>calculati</w:t>
      </w:r>
      <w:r w:rsidR="00DF77E3">
        <w:t>on</w:t>
      </w:r>
      <w:r w:rsidRPr="00097407">
        <w:t>. In the preparation and testing stage, pyrolysis</w:t>
      </w:r>
      <w:r w:rsidR="00DF77E3">
        <w:t xml:space="preserve"> process</w:t>
      </w:r>
      <w:r w:rsidRPr="00097407">
        <w:t xml:space="preserve"> was carried out in the </w:t>
      </w:r>
      <w:r w:rsidR="00F374B7">
        <w:t>continuous</w:t>
      </w:r>
      <w:r w:rsidRPr="00097407">
        <w:t xml:space="preserve"> scheme</w:t>
      </w:r>
      <w:r w:rsidR="00F364BD">
        <w:t>. A</w:t>
      </w:r>
      <w:r w:rsidR="00DF77E3">
        <w:t xml:space="preserve"> </w:t>
      </w:r>
      <w:r w:rsidRPr="00097407">
        <w:t xml:space="preserve">20 grams of +32 mesh </w:t>
      </w:r>
      <w:r w:rsidR="00F374B7">
        <w:t>coal</w:t>
      </w:r>
      <w:r w:rsidRPr="00097407">
        <w:t xml:space="preserve"> were put into the </w:t>
      </w:r>
      <w:r w:rsidRPr="00275988">
        <w:t xml:space="preserve">reactor </w:t>
      </w:r>
      <w:r w:rsidR="00F374B7" w:rsidRPr="00275988">
        <w:t>for 1 hour</w:t>
      </w:r>
      <w:r w:rsidR="00AA6F57" w:rsidRPr="00275988">
        <w:t xml:space="preserve"> </w:t>
      </w:r>
      <w:r w:rsidRPr="00275988">
        <w:t xml:space="preserve">and tested according to </w:t>
      </w:r>
      <w:r w:rsidR="00DF77E3">
        <w:t>reactor temperature</w:t>
      </w:r>
      <w:r w:rsidRPr="00275988">
        <w:t xml:space="preserve"> variation </w:t>
      </w:r>
      <w:r w:rsidR="00F374B7" w:rsidRPr="00275988">
        <w:t xml:space="preserve">(500, 600, 700, and 800 </w:t>
      </w:r>
      <w:r w:rsidR="005514E2" w:rsidRPr="00275988">
        <w:t>º</w:t>
      </w:r>
      <w:r w:rsidR="00F374B7" w:rsidRPr="00275988">
        <w:t>C)</w:t>
      </w:r>
      <w:r w:rsidR="002B4279">
        <w:t>.</w:t>
      </w:r>
    </w:p>
    <w:p w14:paraId="3EA19D59" w14:textId="77777777" w:rsidR="002B4279" w:rsidRPr="00275988" w:rsidRDefault="002B4279" w:rsidP="002B4279">
      <w:pPr>
        <w:pStyle w:val="BodiText"/>
      </w:pPr>
    </w:p>
    <w:p w14:paraId="1DF13E2C" w14:textId="591E271D" w:rsidR="00097407" w:rsidRDefault="00097407" w:rsidP="002B4279">
      <w:pPr>
        <w:pStyle w:val="BodiText"/>
      </w:pPr>
      <w:r w:rsidRPr="00275988">
        <w:t>The experiment was started by flowing nitrogen gas into the pyrolysis equipment. Nitrogen gas (N</w:t>
      </w:r>
      <w:r w:rsidRPr="00275988">
        <w:rPr>
          <w:vertAlign w:val="subscript"/>
        </w:rPr>
        <w:t>2</w:t>
      </w:r>
      <w:r w:rsidRPr="00275988">
        <w:t>) was streamed to the reactor and gas cooling equipment to remove trapped air. The nitrogen gas flow rate was regulated at 24 mL/minute. Gas products flowed through the top of the reactor and then cooled through a condenser. Nitrogen gas was also used as a carrier gas during the experiment. When the experiment occurred, the nitrogen flow rate used was 0.05 mL/min. The gas out of the condenser was analyzed with a gas analyzer.</w:t>
      </w:r>
    </w:p>
    <w:p w14:paraId="74CF5DD2" w14:textId="77777777" w:rsidR="002B4279" w:rsidRPr="00275988" w:rsidRDefault="002B4279" w:rsidP="002B4279">
      <w:pPr>
        <w:pStyle w:val="BodiText"/>
      </w:pPr>
    </w:p>
    <w:p w14:paraId="4932F1EA" w14:textId="524F3CC5" w:rsidR="00080FED" w:rsidRDefault="00080FED" w:rsidP="002B4279">
      <w:pPr>
        <w:pStyle w:val="BodiText"/>
      </w:pPr>
      <w:r w:rsidRPr="00275988">
        <w:t xml:space="preserve">The pyrolysis reactor was </w:t>
      </w:r>
      <w:r w:rsidR="00BA547F" w:rsidRPr="00275988">
        <w:t>set</w:t>
      </w:r>
      <w:r w:rsidRPr="00275988">
        <w:t xml:space="preserve"> at 10 </w:t>
      </w:r>
      <w:r w:rsidR="005514E2" w:rsidRPr="00275988">
        <w:t>º</w:t>
      </w:r>
      <w:r w:rsidRPr="00275988">
        <w:t xml:space="preserve">C/minute </w:t>
      </w:r>
      <w:r w:rsidR="00BA547F" w:rsidRPr="00275988">
        <w:t>until temperature</w:t>
      </w:r>
      <w:r w:rsidR="00086E4A" w:rsidRPr="00086E4A">
        <w:t xml:space="preserve"> </w:t>
      </w:r>
      <w:r w:rsidR="00086E4A">
        <w:t xml:space="preserve">was </w:t>
      </w:r>
      <w:r w:rsidR="00086E4A" w:rsidRPr="00275988">
        <w:t>reach</w:t>
      </w:r>
      <w:r w:rsidR="00086E4A">
        <w:t>ed</w:t>
      </w:r>
      <w:r w:rsidR="00BA547F" w:rsidRPr="00275988">
        <w:t xml:space="preserve">. </w:t>
      </w:r>
      <w:r w:rsidR="00F364BD">
        <w:t xml:space="preserve">A </w:t>
      </w:r>
      <w:r w:rsidR="00BA547F" w:rsidRPr="00275988">
        <w:t xml:space="preserve">20 gram/hour of coal was fed into reactor. </w:t>
      </w:r>
      <w:r w:rsidRPr="00275988">
        <w:t xml:space="preserve">The gas product </w:t>
      </w:r>
      <w:r w:rsidR="00086E4A">
        <w:t xml:space="preserve">flowed </w:t>
      </w:r>
      <w:r w:rsidRPr="00275988">
        <w:t xml:space="preserve">out from the top of the reactor and then streamed into a condenser equipped with cooling water circulation </w:t>
      </w:r>
      <w:r w:rsidRPr="00080FED">
        <w:t xml:space="preserve">(5-10 °C). The components of pyrolysis gas </w:t>
      </w:r>
      <w:r w:rsidR="00F364BD">
        <w:t>were</w:t>
      </w:r>
      <w:r w:rsidRPr="00080FED">
        <w:t xml:space="preserve"> condensed and separated from non-condensable gas (NCG). </w:t>
      </w:r>
      <w:r w:rsidR="00086E4A" w:rsidRPr="00080FED">
        <w:t xml:space="preserve">These </w:t>
      </w:r>
      <w:r w:rsidR="00086E4A">
        <w:t>liquids were</w:t>
      </w:r>
      <w:r w:rsidRPr="00080FED">
        <w:t xml:space="preserve"> collected in a </w:t>
      </w:r>
      <w:r w:rsidR="00BA547F">
        <w:t>beaker glass</w:t>
      </w:r>
      <w:r w:rsidRPr="00080FED">
        <w:t xml:space="preserve"> (tar container). NCG was collected in a sampling bag. The NCG in the sampling bag was routed to 4 pieces of </w:t>
      </w:r>
      <w:proofErr w:type="spellStart"/>
      <w:r w:rsidRPr="00080FED">
        <w:t>impinger</w:t>
      </w:r>
      <w:proofErr w:type="spellEnd"/>
      <w:r w:rsidRPr="00080FED">
        <w:t xml:space="preserve">. The first 3 units of </w:t>
      </w:r>
      <w:proofErr w:type="spellStart"/>
      <w:r w:rsidRPr="00080FED">
        <w:t>impinger</w:t>
      </w:r>
      <w:proofErr w:type="spellEnd"/>
      <w:r w:rsidRPr="00080FED">
        <w:t xml:space="preserve"> w</w:t>
      </w:r>
      <w:r w:rsidR="00086E4A">
        <w:t>ere</w:t>
      </w:r>
      <w:r w:rsidRPr="00080FED">
        <w:t xml:space="preserve"> containing 60 mL </w:t>
      </w:r>
      <w:r w:rsidR="00682B67">
        <w:t xml:space="preserve">of </w:t>
      </w:r>
      <w:proofErr w:type="spellStart"/>
      <w:r w:rsidRPr="00080FED">
        <w:t>anisol</w:t>
      </w:r>
      <w:proofErr w:type="spellEnd"/>
      <w:r w:rsidRPr="00080FED">
        <w:t xml:space="preserve"> and the last </w:t>
      </w:r>
      <w:proofErr w:type="spellStart"/>
      <w:r w:rsidR="00F364BD">
        <w:t>impinger</w:t>
      </w:r>
      <w:proofErr w:type="spellEnd"/>
      <w:r w:rsidR="00F364BD">
        <w:t xml:space="preserve"> was</w:t>
      </w:r>
      <w:r w:rsidRPr="00080FED">
        <w:t xml:space="preserve"> filled with </w:t>
      </w:r>
      <w:r w:rsidR="00C57795">
        <w:t>activated carbon</w:t>
      </w:r>
      <w:r w:rsidRPr="00080FED">
        <w:t xml:space="preserve"> to ensure all tar </w:t>
      </w:r>
      <w:r w:rsidR="007823D2">
        <w:t>were</w:t>
      </w:r>
      <w:r w:rsidRPr="00080FED">
        <w:t xml:space="preserve"> removed from NCG. The clean NCG </w:t>
      </w:r>
      <w:r w:rsidR="00F364BD">
        <w:t xml:space="preserve">was </w:t>
      </w:r>
      <w:r w:rsidRPr="00080FED">
        <w:t xml:space="preserve">connected to a coal gas analyzer and gas composition </w:t>
      </w:r>
      <w:r w:rsidRPr="00080FED">
        <w:lastRenderedPageBreak/>
        <w:t xml:space="preserve">analysis </w:t>
      </w:r>
      <w:r w:rsidR="00F364BD">
        <w:t>was</w:t>
      </w:r>
      <w:r w:rsidRPr="00080FED">
        <w:t xml:space="preserve"> performed. The composition of the NCG measured </w:t>
      </w:r>
      <w:r w:rsidR="00F364BD">
        <w:t>wa</w:t>
      </w:r>
      <w:r w:rsidRPr="00080FED">
        <w:t>s CO, CO</w:t>
      </w:r>
      <w:r w:rsidRPr="00C57795">
        <w:rPr>
          <w:vertAlign w:val="subscript"/>
        </w:rPr>
        <w:t>2</w:t>
      </w:r>
      <w:r w:rsidRPr="00080FED">
        <w:t>, H</w:t>
      </w:r>
      <w:r w:rsidRPr="00C57795">
        <w:rPr>
          <w:vertAlign w:val="subscript"/>
        </w:rPr>
        <w:t>2</w:t>
      </w:r>
      <w:r w:rsidRPr="00080FED">
        <w:t>, CH</w:t>
      </w:r>
      <w:r w:rsidRPr="00C57795">
        <w:rPr>
          <w:vertAlign w:val="subscript"/>
        </w:rPr>
        <w:t>4</w:t>
      </w:r>
      <w:r w:rsidRPr="00080FED">
        <w:t>, O</w:t>
      </w:r>
      <w:r w:rsidRPr="00C57795">
        <w:rPr>
          <w:vertAlign w:val="subscript"/>
        </w:rPr>
        <w:t>2</w:t>
      </w:r>
      <w:r w:rsidRPr="00080FED">
        <w:t xml:space="preserve">, </w:t>
      </w:r>
      <w:proofErr w:type="spellStart"/>
      <w:r w:rsidRPr="00080FED">
        <w:t>C</w:t>
      </w:r>
      <w:r w:rsidRPr="00C57795">
        <w:rPr>
          <w:vertAlign w:val="subscript"/>
        </w:rPr>
        <w:t>n</w:t>
      </w:r>
      <w:r w:rsidRPr="00080FED">
        <w:t>H</w:t>
      </w:r>
      <w:r w:rsidRPr="00C57795">
        <w:rPr>
          <w:vertAlign w:val="subscript"/>
        </w:rPr>
        <w:t>m</w:t>
      </w:r>
      <w:proofErr w:type="spellEnd"/>
      <w:r w:rsidRPr="00080FED">
        <w:t>, and N</w:t>
      </w:r>
      <w:r w:rsidRPr="00C57795">
        <w:rPr>
          <w:vertAlign w:val="subscript"/>
        </w:rPr>
        <w:t>2</w:t>
      </w:r>
      <w:r w:rsidRPr="00080FED">
        <w:t>.</w:t>
      </w:r>
    </w:p>
    <w:p w14:paraId="44DB3898" w14:textId="77777777" w:rsidR="002B4279" w:rsidRPr="00080FED" w:rsidRDefault="002B4279" w:rsidP="002B4279">
      <w:pPr>
        <w:pStyle w:val="BodiText"/>
      </w:pPr>
    </w:p>
    <w:p w14:paraId="03334BAB" w14:textId="4A617F8B" w:rsidR="00080FED" w:rsidRPr="00EE5586" w:rsidRDefault="00080FED" w:rsidP="002B4279">
      <w:pPr>
        <w:pStyle w:val="BodiText"/>
      </w:pPr>
      <w:r w:rsidRPr="00080FED">
        <w:t xml:space="preserve">After the experiment, </w:t>
      </w:r>
      <w:r w:rsidR="00913B65">
        <w:t>t</w:t>
      </w:r>
      <w:r w:rsidRPr="00080FED">
        <w:t>he yield measurement of pyrolysis products was carried out to obtain the values ​​of char</w:t>
      </w:r>
      <w:r w:rsidRPr="00EE5586">
        <w:t xml:space="preserve">, NCG, and tar. </w:t>
      </w:r>
      <w:r w:rsidR="00913B65" w:rsidRPr="00EE5586">
        <w:t>C</w:t>
      </w:r>
      <w:r w:rsidRPr="00EE5586">
        <w:t xml:space="preserve">har </w:t>
      </w:r>
      <w:r w:rsidR="00913B65" w:rsidRPr="00EE5586">
        <w:t xml:space="preserve">and tar </w:t>
      </w:r>
      <w:r w:rsidR="00682B67" w:rsidRPr="00EE5586">
        <w:t>were</w:t>
      </w:r>
      <w:r w:rsidRPr="00EE5586">
        <w:t xml:space="preserve"> measured by analytical balance. NCG was measured by </w:t>
      </w:r>
      <w:r w:rsidR="00FA68B8" w:rsidRPr="00EE5586">
        <w:t xml:space="preserve">difference. </w:t>
      </w:r>
      <w:r w:rsidR="00EE5586" w:rsidRPr="00EE5586">
        <w:t>Proximate, ultimate, and calorific value of char were analyzed with ASTM method. H</w:t>
      </w:r>
      <w:r w:rsidR="00330297" w:rsidRPr="00EE5586">
        <w:t>eat and material balance</w:t>
      </w:r>
      <w:r w:rsidR="00EE5586" w:rsidRPr="00EE5586">
        <w:t xml:space="preserve"> were obtained by calculation</w:t>
      </w:r>
      <w:r w:rsidR="00330297" w:rsidRPr="00EE5586">
        <w:t xml:space="preserve">. </w:t>
      </w:r>
      <w:r w:rsidR="00F364BD">
        <w:t xml:space="preserve">A </w:t>
      </w:r>
      <w:r w:rsidR="00330297" w:rsidRPr="00EE5586">
        <w:t xml:space="preserve">100 kg of </w:t>
      </w:r>
      <w:r w:rsidR="00EE5586" w:rsidRPr="00EE5586">
        <w:t>coal</w:t>
      </w:r>
      <w:r w:rsidR="00330297" w:rsidRPr="00EE5586">
        <w:t xml:space="preserve"> </w:t>
      </w:r>
      <w:r w:rsidR="00F364BD">
        <w:t>was</w:t>
      </w:r>
      <w:r w:rsidR="00330297" w:rsidRPr="00EE5586">
        <w:t xml:space="preserve"> used as the basis for the calculation. The energy content of </w:t>
      </w:r>
      <w:r w:rsidR="00EE5586" w:rsidRPr="00EE5586">
        <w:t>coal</w:t>
      </w:r>
      <w:r w:rsidR="00330297" w:rsidRPr="00EE5586">
        <w:t xml:space="preserve"> </w:t>
      </w:r>
      <w:r w:rsidR="00F364BD">
        <w:t xml:space="preserve">was obtained from multiplication of </w:t>
      </w:r>
      <w:r w:rsidR="00330297" w:rsidRPr="00EE5586">
        <w:t xml:space="preserve">100 kg </w:t>
      </w:r>
      <w:r w:rsidR="00F364BD">
        <w:t>with</w:t>
      </w:r>
      <w:r w:rsidR="00330297" w:rsidRPr="00EE5586">
        <w:t xml:space="preserve"> calorific value of </w:t>
      </w:r>
      <w:r w:rsidR="00EE5586" w:rsidRPr="00EE5586">
        <w:t>coal</w:t>
      </w:r>
      <w:r w:rsidR="00F364BD">
        <w:t>. T</w:t>
      </w:r>
      <w:r w:rsidR="00330297" w:rsidRPr="00EE5586">
        <w:t xml:space="preserve">he mass of char </w:t>
      </w:r>
      <w:r w:rsidR="00F364BD">
        <w:t xml:space="preserve">was obtained from multiplication of </w:t>
      </w:r>
      <w:r w:rsidR="00F364BD" w:rsidRPr="00EE5586">
        <w:t xml:space="preserve">100 kg </w:t>
      </w:r>
      <w:r w:rsidR="00F364BD">
        <w:t>with</w:t>
      </w:r>
      <w:r w:rsidR="00F364BD" w:rsidRPr="00EE5586">
        <w:t xml:space="preserve"> </w:t>
      </w:r>
      <w:r w:rsidR="00330297" w:rsidRPr="00EE5586">
        <w:t>%char</w:t>
      </w:r>
      <w:r w:rsidR="00F364BD">
        <w:t>. E</w:t>
      </w:r>
      <w:r w:rsidR="00330297" w:rsidRPr="00EE5586">
        <w:t xml:space="preserve">nergy content of char </w:t>
      </w:r>
      <w:r w:rsidR="00F364BD">
        <w:t xml:space="preserve">was obtained from multiplication of </w:t>
      </w:r>
      <w:r w:rsidR="00330297" w:rsidRPr="00EE5586">
        <w:t xml:space="preserve">mass of char </w:t>
      </w:r>
      <w:r w:rsidR="00F364BD">
        <w:t>with</w:t>
      </w:r>
      <w:r w:rsidR="00330297" w:rsidRPr="00EE5586">
        <w:t xml:space="preserve"> calorific value of char</w:t>
      </w:r>
      <w:r w:rsidR="00F364BD">
        <w:t xml:space="preserve">. While </w:t>
      </w:r>
      <w:r w:rsidR="00330297" w:rsidRPr="00EE5586">
        <w:t>energy in char</w:t>
      </w:r>
      <w:r w:rsidR="00F364BD" w:rsidRPr="00F364BD">
        <w:t xml:space="preserve"> </w:t>
      </w:r>
      <w:r w:rsidR="00F364BD">
        <w:t xml:space="preserve">was obtained from </w:t>
      </w:r>
      <w:r w:rsidR="008E638E">
        <w:t xml:space="preserve">division </w:t>
      </w:r>
      <w:r w:rsidR="00F364BD">
        <w:t xml:space="preserve">of </w:t>
      </w:r>
      <w:r w:rsidR="00330297" w:rsidRPr="00EE5586">
        <w:t>energy content of char</w:t>
      </w:r>
      <w:r w:rsidR="008E638E">
        <w:t xml:space="preserve"> with </w:t>
      </w:r>
      <w:r w:rsidR="00330297" w:rsidRPr="00EE5586">
        <w:t xml:space="preserve">energy content of </w:t>
      </w:r>
      <w:r w:rsidR="00EE5586" w:rsidRPr="00EE5586">
        <w:t>coal</w:t>
      </w:r>
      <w:r w:rsidR="00330297" w:rsidRPr="00EE5586">
        <w:t>.</w:t>
      </w:r>
    </w:p>
    <w:p w14:paraId="530AB74F" w14:textId="77777777" w:rsidR="00025A7C" w:rsidRPr="009D6EE5" w:rsidRDefault="00025A7C" w:rsidP="002B4279">
      <w:pPr>
        <w:pStyle w:val="BodiText"/>
      </w:pPr>
    </w:p>
    <w:p w14:paraId="5D273D85" w14:textId="77777777" w:rsidR="00025A7C" w:rsidRPr="009D6EE5" w:rsidRDefault="00025A7C" w:rsidP="002B4279">
      <w:pPr>
        <w:pStyle w:val="BodiText"/>
      </w:pPr>
    </w:p>
    <w:p w14:paraId="456FFFC4" w14:textId="3A05DB80" w:rsidR="00025A7C" w:rsidRPr="009D6EE5" w:rsidRDefault="00224B67" w:rsidP="002B4279">
      <w:pPr>
        <w:pStyle w:val="ChapterTitle"/>
      </w:pPr>
      <w:r w:rsidRPr="009D6EE5">
        <w:t>Results and discussion</w:t>
      </w:r>
    </w:p>
    <w:p w14:paraId="0DC2A1E8" w14:textId="77777777" w:rsidR="00224B67" w:rsidRPr="009D6EE5" w:rsidRDefault="00224B67" w:rsidP="002B4279">
      <w:pPr>
        <w:pStyle w:val="BodiText"/>
      </w:pPr>
    </w:p>
    <w:p w14:paraId="5DC364EA" w14:textId="7413A107" w:rsidR="00224B67" w:rsidRPr="009D6EE5" w:rsidRDefault="005514E2" w:rsidP="002B4279">
      <w:pPr>
        <w:pStyle w:val="SectionTitle"/>
      </w:pPr>
      <w:r>
        <w:t xml:space="preserve">Effect of </w:t>
      </w:r>
      <w:r w:rsidR="002B4279">
        <w:t>Moisture Content and Temperature</w:t>
      </w:r>
    </w:p>
    <w:p w14:paraId="7C923D7C" w14:textId="77777777" w:rsidR="00224B67" w:rsidRPr="009D6EE5" w:rsidRDefault="00224B67" w:rsidP="002B4279">
      <w:pPr>
        <w:pStyle w:val="BodiText"/>
      </w:pPr>
    </w:p>
    <w:p w14:paraId="4CDD48EC" w14:textId="4A8E0D72" w:rsidR="00025A7C" w:rsidRPr="00AD0FAA" w:rsidRDefault="00510A46" w:rsidP="002B4279">
      <w:pPr>
        <w:pStyle w:val="BodiText"/>
      </w:pPr>
      <w:r>
        <w:t>T</w:t>
      </w:r>
      <w:r w:rsidR="00F2115A" w:rsidRPr="00F2115A">
        <w:t xml:space="preserve">he mass balance products </w:t>
      </w:r>
      <w:r w:rsidR="00F94B59">
        <w:t xml:space="preserve">of Coal A and Coal B pyrolysis </w:t>
      </w:r>
      <w:r w:rsidR="00F2115A" w:rsidRPr="00F2115A">
        <w:t>at each temperature</w:t>
      </w:r>
      <w:r>
        <w:t xml:space="preserve"> are shown in Figure </w:t>
      </w:r>
      <w:r w:rsidR="002B4279">
        <w:t>2</w:t>
      </w:r>
      <w:r w:rsidR="00F2115A" w:rsidRPr="00F2115A">
        <w:t>. The results showed that the yield of char decreased with increasing pyrolysis temperature, while on the other hand, tar and NCG increased. This</w:t>
      </w:r>
      <w:r w:rsidR="00CF767B">
        <w:t xml:space="preserve"> result</w:t>
      </w:r>
      <w:r w:rsidR="00F2115A" w:rsidRPr="00F2115A">
        <w:t xml:space="preserve"> occurs due to the loss of moisture </w:t>
      </w:r>
      <w:r w:rsidR="00AD0FAA">
        <w:t xml:space="preserve">and </w:t>
      </w:r>
      <w:r w:rsidR="00AD0FAA" w:rsidRPr="00F2115A">
        <w:t xml:space="preserve">volatility </w:t>
      </w:r>
      <w:r w:rsidR="00F2115A" w:rsidRPr="00F2115A">
        <w:t>content in char</w:t>
      </w:r>
      <w:r w:rsidR="00AD0FAA">
        <w:t>.</w:t>
      </w:r>
      <w:r w:rsidR="00537BD9">
        <w:t xml:space="preserve"> Coal A have lower moisture content than Coal B. </w:t>
      </w:r>
      <w:r w:rsidR="00CC5C4E">
        <w:t xml:space="preserve">Therefore, at the same energy, less char </w:t>
      </w:r>
      <w:r w:rsidR="00115100">
        <w:t>was</w:t>
      </w:r>
      <w:r w:rsidR="00CC5C4E">
        <w:t xml:space="preserve"> produced from Coal B than Coal A because the </w:t>
      </w:r>
      <w:r w:rsidR="00CC5C4E" w:rsidRPr="00CC5C4E">
        <w:t>energy is used to evaporate water</w:t>
      </w:r>
      <w:r w:rsidR="00CC5C4E">
        <w:t xml:space="preserve">. </w:t>
      </w:r>
      <w:r w:rsidR="00CC5C4E" w:rsidRPr="00CC5C4E">
        <w:t xml:space="preserve">This </w:t>
      </w:r>
      <w:r w:rsidR="00115100">
        <w:t>was</w:t>
      </w:r>
      <w:r w:rsidR="00CC5C4E" w:rsidRPr="00CC5C4E">
        <w:t xml:space="preserve"> also indicated by the more liquid product from Coal B than Coal A</w:t>
      </w:r>
      <w:r w:rsidR="00CC5C4E">
        <w:t>.</w:t>
      </w:r>
    </w:p>
    <w:p w14:paraId="5652CCC7" w14:textId="3F7FEFA5" w:rsidR="00FF55BB" w:rsidRDefault="00FF55BB" w:rsidP="002B4279">
      <w:pPr>
        <w:pStyle w:val="FigureTitle"/>
      </w:pPr>
    </w:p>
    <w:p w14:paraId="2A195F37" w14:textId="2A668564" w:rsidR="00FF55BB" w:rsidRPr="00FF55BB" w:rsidRDefault="00FF55BB" w:rsidP="00FF55BB">
      <w:pPr>
        <w:pStyle w:val="BodiText"/>
        <w:sectPr w:rsidR="00FF55BB" w:rsidRPr="00FF55BB" w:rsidSect="00FF55BB">
          <w:type w:val="continuous"/>
          <w:pgSz w:w="11906" w:h="16838" w:code="9"/>
          <w:pgMar w:top="1701" w:right="1701" w:bottom="1701" w:left="1701" w:header="0" w:footer="0" w:gutter="0"/>
          <w:cols w:num="2" w:space="567"/>
          <w:docGrid w:linePitch="360"/>
        </w:sectPr>
      </w:pPr>
      <w:r w:rsidRPr="00FF55BB">
        <w:t>Char yield tend to flat from 500 ºC to 600 ºC then significant decrease in char yield occurred from 700 ºC to 800 ºC. This showed that the optimal temperature of coal pyrolysis was 600 ºC for Coal A and Coal B. Increasing the temperature above 600 ºC will require more energy while the resulting char yield was not too different. The yield of char produced at 500 ºC was higher than the yield of char at 600, 700, and 800 ºC.</w:t>
      </w:r>
    </w:p>
    <w:p w14:paraId="3BF4CE4F" w14:textId="5D88708E" w:rsidR="00166741" w:rsidRDefault="007F3632" w:rsidP="002B4279">
      <w:pPr>
        <w:pStyle w:val="FigureTitle"/>
      </w:pPr>
      <w:r>
        <w:lastRenderedPageBreak/>
        <w:t xml:space="preserve">  </w:t>
      </w:r>
      <w:r>
        <w:rPr>
          <w:noProof/>
          <w:lang w:eastAsia="en-US"/>
        </w:rPr>
        <w:drawing>
          <wp:inline distT="0" distB="0" distL="0" distR="0" wp14:anchorId="3F02C7BD" wp14:editId="36B2EB82">
            <wp:extent cx="4981575" cy="2343150"/>
            <wp:effectExtent l="0" t="0" r="9525" b="0"/>
            <wp:docPr id="1" name="Chart 1">
              <a:extLst xmlns:a="http://schemas.openxmlformats.org/drawingml/2006/main">
                <a:ext uri="{FF2B5EF4-FFF2-40B4-BE49-F238E27FC236}">
                  <a16:creationId xmlns:a16="http://schemas.microsoft.com/office/drawing/2014/main" id="{461C6160-5AF7-4972-8F89-5916B937E6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81B520B" w14:textId="77777777" w:rsidR="002B4279" w:rsidRPr="002B4279" w:rsidRDefault="002B4279" w:rsidP="002B4279">
      <w:pPr>
        <w:pStyle w:val="FigureTitle"/>
      </w:pPr>
    </w:p>
    <w:p w14:paraId="6043554E" w14:textId="46494337" w:rsidR="00025A7C" w:rsidRPr="009D6EE5" w:rsidRDefault="00166741" w:rsidP="002B4279">
      <w:pPr>
        <w:pStyle w:val="FigureTitle"/>
        <w:rPr>
          <w:i/>
        </w:rPr>
      </w:pPr>
      <w:r w:rsidRPr="002B4279">
        <w:t>Figure</w:t>
      </w:r>
      <w:r w:rsidR="002B4279">
        <w:t xml:space="preserve"> 2</w:t>
      </w:r>
      <w:r w:rsidRPr="002B4279">
        <w:t>.</w:t>
      </w:r>
      <w:r w:rsidRPr="009D6EE5">
        <w:t xml:space="preserve"> Material balance of </w:t>
      </w:r>
      <w:r w:rsidR="00275988" w:rsidRPr="00275988">
        <w:t>slow pyrolysis</w:t>
      </w:r>
    </w:p>
    <w:p w14:paraId="0BD41EBE" w14:textId="03A46383" w:rsidR="00BE383E" w:rsidRDefault="00BE383E" w:rsidP="002B4279">
      <w:pPr>
        <w:pStyle w:val="BodiText"/>
      </w:pPr>
    </w:p>
    <w:p w14:paraId="548A41E0" w14:textId="77777777" w:rsidR="002B4279" w:rsidRDefault="002B4279" w:rsidP="002B4279">
      <w:pPr>
        <w:pStyle w:val="BodiText"/>
      </w:pPr>
    </w:p>
    <w:p w14:paraId="4AB4D907" w14:textId="77777777" w:rsidR="00FF55BB" w:rsidRDefault="00FF55BB" w:rsidP="002B4279">
      <w:pPr>
        <w:pStyle w:val="SectionTitle"/>
        <w:sectPr w:rsidR="00FF55BB" w:rsidSect="000C7C0D">
          <w:type w:val="continuous"/>
          <w:pgSz w:w="11906" w:h="16838" w:code="9"/>
          <w:pgMar w:top="1701" w:right="1701" w:bottom="1701" w:left="1701" w:header="0" w:footer="0" w:gutter="0"/>
          <w:cols w:space="708"/>
          <w:docGrid w:linePitch="360"/>
        </w:sectPr>
      </w:pPr>
    </w:p>
    <w:p w14:paraId="3311D700" w14:textId="3A1820F3" w:rsidR="00025A7C" w:rsidRPr="009D6EE5" w:rsidRDefault="00510A46" w:rsidP="002B4279">
      <w:pPr>
        <w:pStyle w:val="SectionTitle"/>
        <w:rPr>
          <w:lang w:val="id-ID"/>
        </w:rPr>
      </w:pPr>
      <w:r>
        <w:lastRenderedPageBreak/>
        <w:t>C</w:t>
      </w:r>
      <w:r w:rsidR="00FD4DEB" w:rsidRPr="009D6EE5">
        <w:t>har</w:t>
      </w:r>
      <w:r w:rsidR="007432F1" w:rsidRPr="009D6EE5">
        <w:t xml:space="preserve"> </w:t>
      </w:r>
      <w:r w:rsidR="002B4279" w:rsidRPr="009D6EE5">
        <w:t>Quality</w:t>
      </w:r>
    </w:p>
    <w:p w14:paraId="08509764" w14:textId="77777777" w:rsidR="00735A93" w:rsidRPr="009D6EE5" w:rsidRDefault="00735A93" w:rsidP="002B4279">
      <w:pPr>
        <w:pStyle w:val="BodiText"/>
      </w:pPr>
    </w:p>
    <w:p w14:paraId="79EDAA04" w14:textId="2D9E7EA0" w:rsidR="00217D8B" w:rsidRDefault="00217D8B" w:rsidP="002B4279">
      <w:pPr>
        <w:pStyle w:val="BodiText"/>
      </w:pPr>
      <w:r w:rsidRPr="00217D8B">
        <w:t>Pyrolysis is a decomposition process that occurs when volatiles is driven out from hydrocarbon material under heating conditions. The higher the pyrolysis temperature, the char produced will have lower volatile matter (Table 1</w:t>
      </w:r>
      <w:r w:rsidR="00120A8C">
        <w:t xml:space="preserve"> </w:t>
      </w:r>
      <w:r w:rsidR="00790FBD">
        <w:t xml:space="preserve">and </w:t>
      </w:r>
      <w:r w:rsidR="00120A8C">
        <w:t>2</w:t>
      </w:r>
      <w:r w:rsidRPr="00217D8B">
        <w:t xml:space="preserve">). The ratio of a sharp decrease in volatile matter occurred at temperatures of </w:t>
      </w:r>
      <w:r w:rsidR="00D6394F">
        <w:t>500</w:t>
      </w:r>
      <w:r w:rsidRPr="00217D8B">
        <w:t xml:space="preserve"> - </w:t>
      </w:r>
      <w:r w:rsidR="00D6394F">
        <w:t>600</w:t>
      </w:r>
      <w:r w:rsidRPr="00217D8B">
        <w:t xml:space="preserve"> </w:t>
      </w:r>
      <w:r w:rsidR="005514E2">
        <w:rPr>
          <w:lang w:eastAsia="ja-JP"/>
        </w:rPr>
        <w:t>º</w:t>
      </w:r>
      <w:r w:rsidRPr="00217D8B">
        <w:t>C</w:t>
      </w:r>
      <w:r w:rsidR="002036E4">
        <w:t xml:space="preserve"> for Coal A and Coal B.</w:t>
      </w:r>
      <w:r w:rsidRPr="00217D8B">
        <w:t xml:space="preserve"> This will lead to </w:t>
      </w:r>
      <w:r w:rsidR="00FF55BB">
        <w:t>increased carbon and fixed ash.</w:t>
      </w:r>
    </w:p>
    <w:p w14:paraId="346C9877" w14:textId="77777777" w:rsidR="00FF55BB" w:rsidRPr="00FF55BB" w:rsidRDefault="00FF55BB" w:rsidP="00FF55BB">
      <w:pPr>
        <w:pStyle w:val="BodiText"/>
      </w:pPr>
    </w:p>
    <w:p w14:paraId="6E95415E" w14:textId="5EA6CF5B" w:rsidR="005C6706" w:rsidRDefault="00217D8B" w:rsidP="002B4279">
      <w:pPr>
        <w:pStyle w:val="BodiText"/>
      </w:pPr>
      <w:r w:rsidRPr="00217D8B">
        <w:t xml:space="preserve">The carbon content in char has increased after the pyrolysis process. Carbon content </w:t>
      </w:r>
      <w:r w:rsidR="00731A06">
        <w:t xml:space="preserve">of Coal A </w:t>
      </w:r>
      <w:r w:rsidRPr="00217D8B">
        <w:t xml:space="preserve">before the pyrolysis process was </w:t>
      </w:r>
      <w:r w:rsidR="0056796D">
        <w:rPr>
          <w:rFonts w:eastAsia="Times New Roman"/>
        </w:rPr>
        <w:t>42.86</w:t>
      </w:r>
      <w:r w:rsidRPr="00217D8B">
        <w:t xml:space="preserve">%, increased to 57.56% at </w:t>
      </w:r>
      <w:r w:rsidR="0056796D">
        <w:t>5</w:t>
      </w:r>
      <w:r w:rsidRPr="00217D8B">
        <w:t xml:space="preserve">00 °C, </w:t>
      </w:r>
      <w:r w:rsidR="0056796D">
        <w:rPr>
          <w:rFonts w:eastAsia="Times New Roman"/>
        </w:rPr>
        <w:t>66.29</w:t>
      </w:r>
      <w:r w:rsidRPr="00217D8B">
        <w:t xml:space="preserve">% at </w:t>
      </w:r>
      <w:r w:rsidR="0056796D">
        <w:t>60</w:t>
      </w:r>
      <w:r w:rsidRPr="00217D8B">
        <w:t xml:space="preserve">0 °C, </w:t>
      </w:r>
      <w:r w:rsidR="0056796D">
        <w:rPr>
          <w:rFonts w:eastAsia="Times New Roman"/>
        </w:rPr>
        <w:t>80.17</w:t>
      </w:r>
      <w:r w:rsidR="0056796D" w:rsidRPr="00217D8B">
        <w:t xml:space="preserve">% at </w:t>
      </w:r>
      <w:r w:rsidR="0056796D">
        <w:t>70</w:t>
      </w:r>
      <w:r w:rsidR="0056796D" w:rsidRPr="00217D8B">
        <w:t>0 °C</w:t>
      </w:r>
      <w:r w:rsidR="0056796D">
        <w:t>, a</w:t>
      </w:r>
      <w:r w:rsidRPr="00217D8B">
        <w:t xml:space="preserve">nd </w:t>
      </w:r>
      <w:r w:rsidR="0056796D">
        <w:rPr>
          <w:rFonts w:eastAsia="Times New Roman"/>
        </w:rPr>
        <w:t>79.56</w:t>
      </w:r>
      <w:r w:rsidRPr="00217D8B">
        <w:t xml:space="preserve">% at </w:t>
      </w:r>
      <w:r w:rsidR="0056796D">
        <w:t>8</w:t>
      </w:r>
      <w:r w:rsidRPr="00217D8B">
        <w:t>00 °C</w:t>
      </w:r>
      <w:r w:rsidR="00731A06">
        <w:t xml:space="preserve"> after pyrolysis</w:t>
      </w:r>
      <w:r w:rsidRPr="00217D8B">
        <w:t>.</w:t>
      </w:r>
      <w:r w:rsidR="002D121C">
        <w:t xml:space="preserve"> </w:t>
      </w:r>
      <w:r w:rsidR="002D121C" w:rsidRPr="00217D8B">
        <w:t xml:space="preserve">Carbon content </w:t>
      </w:r>
      <w:r w:rsidR="002D121C">
        <w:t xml:space="preserve">of Coal B </w:t>
      </w:r>
      <w:r w:rsidR="002D121C" w:rsidRPr="00217D8B">
        <w:t xml:space="preserve">before the pyrolysis </w:t>
      </w:r>
      <w:r w:rsidR="002D121C" w:rsidRPr="00217D8B">
        <w:lastRenderedPageBreak/>
        <w:t xml:space="preserve">process was </w:t>
      </w:r>
      <w:r w:rsidR="002D121C">
        <w:rPr>
          <w:rFonts w:eastAsia="Times New Roman"/>
        </w:rPr>
        <w:t>38.74</w:t>
      </w:r>
      <w:r w:rsidR="002D121C" w:rsidRPr="00217D8B">
        <w:t xml:space="preserve">%, increased to </w:t>
      </w:r>
      <w:r w:rsidR="002D121C">
        <w:rPr>
          <w:rFonts w:eastAsia="Times New Roman"/>
        </w:rPr>
        <w:t>65.42</w:t>
      </w:r>
      <w:r w:rsidR="002D121C" w:rsidRPr="00217D8B">
        <w:t xml:space="preserve">% at </w:t>
      </w:r>
      <w:r w:rsidR="002D121C">
        <w:t>5</w:t>
      </w:r>
      <w:r w:rsidR="002D121C" w:rsidRPr="00217D8B">
        <w:t xml:space="preserve">00 °C, </w:t>
      </w:r>
      <w:r w:rsidR="002D121C">
        <w:rPr>
          <w:rFonts w:eastAsia="Times New Roman"/>
        </w:rPr>
        <w:t>74.2</w:t>
      </w:r>
      <w:r w:rsidR="002D121C" w:rsidRPr="00217D8B">
        <w:t xml:space="preserve">% at </w:t>
      </w:r>
      <w:r w:rsidR="002D121C">
        <w:t>60</w:t>
      </w:r>
      <w:r w:rsidR="002D121C" w:rsidRPr="00217D8B">
        <w:t xml:space="preserve">0 °C, </w:t>
      </w:r>
      <w:r w:rsidR="002D121C">
        <w:rPr>
          <w:rFonts w:eastAsia="Times New Roman"/>
        </w:rPr>
        <w:t>79.93</w:t>
      </w:r>
      <w:r w:rsidR="002D121C" w:rsidRPr="00217D8B">
        <w:t xml:space="preserve">% at </w:t>
      </w:r>
      <w:r w:rsidR="002D121C">
        <w:t>70</w:t>
      </w:r>
      <w:r w:rsidR="002D121C" w:rsidRPr="00217D8B">
        <w:t>0 °C</w:t>
      </w:r>
      <w:r w:rsidR="002D121C">
        <w:t>, a</w:t>
      </w:r>
      <w:r w:rsidR="002D121C" w:rsidRPr="00217D8B">
        <w:t xml:space="preserve">nd </w:t>
      </w:r>
      <w:r w:rsidR="002D121C">
        <w:rPr>
          <w:rFonts w:eastAsia="Times New Roman"/>
        </w:rPr>
        <w:t>78.23</w:t>
      </w:r>
      <w:r w:rsidR="002D121C" w:rsidRPr="00217D8B">
        <w:t xml:space="preserve">% at </w:t>
      </w:r>
      <w:r w:rsidR="002D121C">
        <w:t>8</w:t>
      </w:r>
      <w:r w:rsidR="002D121C" w:rsidRPr="00217D8B">
        <w:t>00 °C</w:t>
      </w:r>
      <w:r w:rsidR="002D121C">
        <w:t xml:space="preserve"> after pyrolysis</w:t>
      </w:r>
      <w:r w:rsidR="00FF55BB">
        <w:t>.</w:t>
      </w:r>
    </w:p>
    <w:p w14:paraId="406DC7E0" w14:textId="77777777" w:rsidR="00FF55BB" w:rsidRDefault="00FF55BB" w:rsidP="002B4279">
      <w:pPr>
        <w:pStyle w:val="BodiText"/>
      </w:pPr>
    </w:p>
    <w:p w14:paraId="1EE04A86" w14:textId="1D97ABCE" w:rsidR="00FF55BB" w:rsidRDefault="00FF55BB" w:rsidP="002B4279">
      <w:pPr>
        <w:pStyle w:val="BodiText"/>
      </w:pPr>
      <w:r w:rsidRPr="00217D8B">
        <w:t xml:space="preserve">The carbon content in </w:t>
      </w:r>
      <w:r>
        <w:t>cha</w:t>
      </w:r>
      <w:r w:rsidRPr="00217D8B">
        <w:t>r increase</w:t>
      </w:r>
      <w:r>
        <w:t>d</w:t>
      </w:r>
      <w:r w:rsidRPr="00217D8B">
        <w:t xml:space="preserve"> with increasing pyrolysis temperature</w:t>
      </w:r>
      <w:r>
        <w:t xml:space="preserve">, then decreased at 800 ºC </w:t>
      </w:r>
      <w:r w:rsidRPr="00217D8B">
        <w:t xml:space="preserve">because the char which </w:t>
      </w:r>
      <w:r>
        <w:t>was</w:t>
      </w:r>
      <w:r w:rsidRPr="00217D8B">
        <w:t xml:space="preserve"> produced at high pyrolysis temperature contains low volatile matter and more carbonized carbon. Therefore, high carbon products can be obtained by increasing the pyrolysis temperature. The results showed that the char content of H, O, N, and S decreased with increasing temperature (Table 1</w:t>
      </w:r>
      <w:r>
        <w:t xml:space="preserve"> and 2</w:t>
      </w:r>
      <w:r w:rsidRPr="00217D8B">
        <w:t xml:space="preserve">). </w:t>
      </w:r>
      <w:r>
        <w:t>It was</w:t>
      </w:r>
      <w:r w:rsidRPr="00217D8B">
        <w:t xml:space="preserve"> caused by pyrolytic processes, which result in the loss of surface functional groups containing O and H</w:t>
      </w:r>
      <w:r>
        <w:t xml:space="preserve"> (</w:t>
      </w:r>
      <w:r w:rsidRPr="000C7C0D">
        <w:t>Al-</w:t>
      </w:r>
      <w:proofErr w:type="spellStart"/>
      <w:r w:rsidRPr="000C7C0D">
        <w:t>Wabel</w:t>
      </w:r>
      <w:proofErr w:type="spellEnd"/>
      <w:r>
        <w:t xml:space="preserve"> </w:t>
      </w:r>
      <w:r w:rsidRPr="000C7C0D">
        <w:rPr>
          <w:i/>
        </w:rPr>
        <w:t>et al.</w:t>
      </w:r>
      <w:r w:rsidRPr="000C7C0D">
        <w:t>, 2013</w:t>
      </w:r>
      <w:r>
        <w:t xml:space="preserve">; </w:t>
      </w:r>
      <w:r w:rsidRPr="000C7C0D">
        <w:t>Usman</w:t>
      </w:r>
      <w:r>
        <w:t xml:space="preserve"> </w:t>
      </w:r>
      <w:r w:rsidRPr="000C7C0D">
        <w:rPr>
          <w:i/>
        </w:rPr>
        <w:t>et al.</w:t>
      </w:r>
      <w:r>
        <w:t>,</w:t>
      </w:r>
      <w:r w:rsidRPr="000C7C0D">
        <w:t xml:space="preserve"> 2015</w:t>
      </w:r>
      <w:r>
        <w:t>)</w:t>
      </w:r>
      <w:r w:rsidRPr="00217D8B">
        <w:t>.</w:t>
      </w:r>
    </w:p>
    <w:p w14:paraId="7CBF8EF8" w14:textId="77777777" w:rsidR="00FF55BB" w:rsidRDefault="00FF55BB" w:rsidP="002B4279">
      <w:pPr>
        <w:pStyle w:val="BodiText"/>
      </w:pPr>
    </w:p>
    <w:p w14:paraId="26BEE7D7" w14:textId="0EC9A8AC" w:rsidR="00217D8B" w:rsidRDefault="00217D8B" w:rsidP="002B4279">
      <w:pPr>
        <w:pStyle w:val="BodiText"/>
      </w:pPr>
    </w:p>
    <w:p w14:paraId="11F2969D" w14:textId="5BDCA89E" w:rsidR="00FF55BB" w:rsidRDefault="00FF55BB" w:rsidP="002B4279">
      <w:pPr>
        <w:pStyle w:val="BodiText"/>
        <w:rPr>
          <w:b/>
          <w:lang w:eastAsia="ja-JP"/>
        </w:rPr>
        <w:sectPr w:rsidR="00FF55BB" w:rsidSect="00FF55BB">
          <w:type w:val="continuous"/>
          <w:pgSz w:w="11906" w:h="16838" w:code="9"/>
          <w:pgMar w:top="1701" w:right="1701" w:bottom="1701" w:left="1701" w:header="0" w:footer="0" w:gutter="0"/>
          <w:cols w:num="2" w:space="567"/>
          <w:docGrid w:linePitch="360"/>
        </w:sectPr>
      </w:pPr>
    </w:p>
    <w:p w14:paraId="3BF78DBD" w14:textId="4E99B2D7" w:rsidR="00FF55BB" w:rsidRDefault="00FF55BB" w:rsidP="00FF55BB">
      <w:pPr>
        <w:pStyle w:val="BodiText"/>
      </w:pPr>
    </w:p>
    <w:p w14:paraId="796ED378" w14:textId="77777777" w:rsidR="00FF55BB" w:rsidRPr="00FF55BB" w:rsidRDefault="00FF55BB" w:rsidP="00FF55BB">
      <w:pPr>
        <w:pStyle w:val="BodiText"/>
      </w:pPr>
    </w:p>
    <w:p w14:paraId="05DBC17F" w14:textId="59D0D7E7" w:rsidR="00025A7C" w:rsidRDefault="00FC4357" w:rsidP="00FF55BB">
      <w:pPr>
        <w:pStyle w:val="TableTitle"/>
      </w:pPr>
      <w:r w:rsidRPr="002B4279">
        <w:t>Table</w:t>
      </w:r>
      <w:r w:rsidR="00025A7C" w:rsidRPr="002B4279">
        <w:t xml:space="preserve"> </w:t>
      </w:r>
      <w:r w:rsidRPr="002B4279">
        <w:t>1.</w:t>
      </w:r>
      <w:r w:rsidR="002B4279">
        <w:tab/>
      </w:r>
      <w:r w:rsidR="0034265F" w:rsidRPr="002B4279">
        <w:t>P</w:t>
      </w:r>
      <w:r w:rsidR="00CF767B" w:rsidRPr="002B4279">
        <w:t xml:space="preserve">roperties </w:t>
      </w:r>
      <w:r w:rsidR="0034265F" w:rsidRPr="002B4279">
        <w:t xml:space="preserve">of </w:t>
      </w:r>
      <w:r w:rsidR="00ED58C1" w:rsidRPr="002B4279">
        <w:t xml:space="preserve">coal </w:t>
      </w:r>
      <w:r w:rsidR="00A2652D" w:rsidRPr="002B4279">
        <w:t>A</w:t>
      </w:r>
    </w:p>
    <w:p w14:paraId="781010F0" w14:textId="77777777" w:rsidR="00ED58C1" w:rsidRPr="002B4279" w:rsidRDefault="00ED58C1" w:rsidP="00ED58C1">
      <w:pPr>
        <w:pStyle w:val="TableTitle"/>
      </w:pPr>
    </w:p>
    <w:tbl>
      <w:tblPr>
        <w:tblW w:w="8505" w:type="dxa"/>
        <w:tblBorders>
          <w:top w:val="single" w:sz="4" w:space="0" w:color="auto"/>
          <w:bottom w:val="single" w:sz="4" w:space="0" w:color="auto"/>
        </w:tblBorders>
        <w:tblLook w:val="04A0" w:firstRow="1" w:lastRow="0" w:firstColumn="1" w:lastColumn="0" w:noHBand="0" w:noVBand="1"/>
      </w:tblPr>
      <w:tblGrid>
        <w:gridCol w:w="2410"/>
        <w:gridCol w:w="1585"/>
        <w:gridCol w:w="980"/>
        <w:gridCol w:w="903"/>
        <w:gridCol w:w="903"/>
        <w:gridCol w:w="903"/>
        <w:gridCol w:w="821"/>
      </w:tblGrid>
      <w:tr w:rsidR="00D83189" w:rsidRPr="00ED58C1" w14:paraId="2048FE4E" w14:textId="6EA2B3CE" w:rsidTr="00FF55BB">
        <w:trPr>
          <w:trHeight w:val="227"/>
        </w:trPr>
        <w:tc>
          <w:tcPr>
            <w:tcW w:w="2410" w:type="dxa"/>
            <w:vMerge w:val="restart"/>
            <w:tcBorders>
              <w:top w:val="single" w:sz="4" w:space="0" w:color="auto"/>
              <w:bottom w:val="single" w:sz="4" w:space="0" w:color="auto"/>
            </w:tcBorders>
            <w:noWrap/>
            <w:vAlign w:val="center"/>
            <w:hideMark/>
          </w:tcPr>
          <w:p w14:paraId="5A9AD04B" w14:textId="77777777" w:rsidR="00D83189" w:rsidRPr="00ED58C1" w:rsidRDefault="00D83189" w:rsidP="00ED58C1">
            <w:pPr>
              <w:pStyle w:val="TableContent"/>
              <w:jc w:val="center"/>
              <w:rPr>
                <w:bCs/>
              </w:rPr>
            </w:pPr>
            <w:r w:rsidRPr="00ED58C1">
              <w:t>Parameter</w:t>
            </w:r>
          </w:p>
        </w:tc>
        <w:tc>
          <w:tcPr>
            <w:tcW w:w="1585" w:type="dxa"/>
            <w:vMerge w:val="restart"/>
            <w:tcBorders>
              <w:top w:val="single" w:sz="4" w:space="0" w:color="auto"/>
              <w:bottom w:val="single" w:sz="4" w:space="0" w:color="auto"/>
            </w:tcBorders>
            <w:noWrap/>
            <w:vAlign w:val="center"/>
            <w:hideMark/>
          </w:tcPr>
          <w:p w14:paraId="0035BF11" w14:textId="1722D729" w:rsidR="00D83189" w:rsidRPr="00ED58C1" w:rsidRDefault="00D83189" w:rsidP="00ED58C1">
            <w:pPr>
              <w:pStyle w:val="TableContent"/>
              <w:jc w:val="center"/>
              <w:rPr>
                <w:bCs/>
              </w:rPr>
            </w:pPr>
            <w:r w:rsidRPr="00ED58C1">
              <w:t>Unit</w:t>
            </w:r>
          </w:p>
        </w:tc>
        <w:tc>
          <w:tcPr>
            <w:tcW w:w="980" w:type="dxa"/>
            <w:vMerge w:val="restart"/>
            <w:tcBorders>
              <w:top w:val="single" w:sz="4" w:space="0" w:color="auto"/>
              <w:bottom w:val="single" w:sz="4" w:space="0" w:color="auto"/>
            </w:tcBorders>
            <w:vAlign w:val="center"/>
            <w:hideMark/>
          </w:tcPr>
          <w:p w14:paraId="28EF9F48" w14:textId="5533E3F9" w:rsidR="00D83189" w:rsidRPr="00ED58C1" w:rsidRDefault="00D83189" w:rsidP="00ED58C1">
            <w:pPr>
              <w:pStyle w:val="TableContent"/>
              <w:jc w:val="center"/>
            </w:pPr>
            <w:r w:rsidRPr="00ED58C1">
              <w:t>Coal A</w:t>
            </w:r>
          </w:p>
        </w:tc>
        <w:tc>
          <w:tcPr>
            <w:tcW w:w="3530" w:type="dxa"/>
            <w:gridSpan w:val="4"/>
            <w:tcBorders>
              <w:top w:val="single" w:sz="4" w:space="0" w:color="auto"/>
              <w:bottom w:val="single" w:sz="4" w:space="0" w:color="auto"/>
            </w:tcBorders>
            <w:noWrap/>
            <w:vAlign w:val="center"/>
            <w:hideMark/>
          </w:tcPr>
          <w:p w14:paraId="78E9E008" w14:textId="3166DFD9" w:rsidR="00D83189" w:rsidRPr="00ED58C1" w:rsidRDefault="00D83189" w:rsidP="00ED58C1">
            <w:pPr>
              <w:pStyle w:val="TableContent"/>
              <w:jc w:val="center"/>
            </w:pPr>
            <w:r w:rsidRPr="00ED58C1">
              <w:t>Coal A Char</w:t>
            </w:r>
          </w:p>
        </w:tc>
      </w:tr>
      <w:tr w:rsidR="00037131" w:rsidRPr="00ED58C1" w14:paraId="1B3FA810" w14:textId="038E26E9" w:rsidTr="00FF55BB">
        <w:trPr>
          <w:trHeight w:val="227"/>
        </w:trPr>
        <w:tc>
          <w:tcPr>
            <w:tcW w:w="2410" w:type="dxa"/>
            <w:vMerge/>
            <w:tcBorders>
              <w:top w:val="single" w:sz="4" w:space="0" w:color="auto"/>
              <w:bottom w:val="single" w:sz="4" w:space="0" w:color="auto"/>
            </w:tcBorders>
            <w:vAlign w:val="center"/>
            <w:hideMark/>
          </w:tcPr>
          <w:p w14:paraId="2B50AEE9" w14:textId="77777777" w:rsidR="00037131" w:rsidRPr="00ED58C1" w:rsidRDefault="00037131" w:rsidP="00ED58C1">
            <w:pPr>
              <w:pStyle w:val="TableContent"/>
              <w:jc w:val="center"/>
              <w:rPr>
                <w:bCs/>
              </w:rPr>
            </w:pPr>
          </w:p>
        </w:tc>
        <w:tc>
          <w:tcPr>
            <w:tcW w:w="1585" w:type="dxa"/>
            <w:vMerge/>
            <w:tcBorders>
              <w:top w:val="single" w:sz="4" w:space="0" w:color="auto"/>
              <w:bottom w:val="single" w:sz="4" w:space="0" w:color="auto"/>
            </w:tcBorders>
            <w:vAlign w:val="center"/>
            <w:hideMark/>
          </w:tcPr>
          <w:p w14:paraId="5152D970" w14:textId="77777777" w:rsidR="00037131" w:rsidRPr="00ED58C1" w:rsidRDefault="00037131" w:rsidP="00ED58C1">
            <w:pPr>
              <w:pStyle w:val="TableContent"/>
              <w:jc w:val="center"/>
              <w:rPr>
                <w:bCs/>
              </w:rPr>
            </w:pPr>
          </w:p>
        </w:tc>
        <w:tc>
          <w:tcPr>
            <w:tcW w:w="980" w:type="dxa"/>
            <w:vMerge/>
            <w:tcBorders>
              <w:top w:val="single" w:sz="4" w:space="0" w:color="auto"/>
              <w:bottom w:val="single" w:sz="4" w:space="0" w:color="auto"/>
            </w:tcBorders>
            <w:vAlign w:val="center"/>
            <w:hideMark/>
          </w:tcPr>
          <w:p w14:paraId="726C91C0" w14:textId="77777777" w:rsidR="00037131" w:rsidRPr="00ED58C1" w:rsidRDefault="00037131" w:rsidP="00ED58C1">
            <w:pPr>
              <w:pStyle w:val="TableContent"/>
              <w:jc w:val="center"/>
            </w:pPr>
          </w:p>
        </w:tc>
        <w:tc>
          <w:tcPr>
            <w:tcW w:w="903" w:type="dxa"/>
            <w:tcBorders>
              <w:top w:val="single" w:sz="4" w:space="0" w:color="auto"/>
              <w:bottom w:val="single" w:sz="4" w:space="0" w:color="auto"/>
            </w:tcBorders>
            <w:noWrap/>
            <w:vAlign w:val="center"/>
            <w:hideMark/>
          </w:tcPr>
          <w:p w14:paraId="4A205A73" w14:textId="51AACFED" w:rsidR="00037131" w:rsidRPr="00ED58C1" w:rsidRDefault="00037131" w:rsidP="00ED58C1">
            <w:pPr>
              <w:pStyle w:val="TableContent"/>
              <w:jc w:val="center"/>
            </w:pPr>
            <w:r w:rsidRPr="00ED58C1">
              <w:t>500</w:t>
            </w:r>
            <w:r w:rsidRPr="00ED58C1">
              <w:rPr>
                <w:lang w:eastAsia="ja-JP"/>
              </w:rPr>
              <w:t>°C</w:t>
            </w:r>
          </w:p>
        </w:tc>
        <w:tc>
          <w:tcPr>
            <w:tcW w:w="903" w:type="dxa"/>
            <w:tcBorders>
              <w:top w:val="single" w:sz="4" w:space="0" w:color="auto"/>
              <w:bottom w:val="single" w:sz="4" w:space="0" w:color="auto"/>
            </w:tcBorders>
            <w:noWrap/>
            <w:vAlign w:val="center"/>
            <w:hideMark/>
          </w:tcPr>
          <w:p w14:paraId="563AD69A" w14:textId="5AE81ABC" w:rsidR="00037131" w:rsidRPr="00ED58C1" w:rsidRDefault="00037131" w:rsidP="00ED58C1">
            <w:pPr>
              <w:pStyle w:val="TableContent"/>
              <w:jc w:val="center"/>
            </w:pPr>
            <w:r w:rsidRPr="00ED58C1">
              <w:t>600</w:t>
            </w:r>
            <w:r w:rsidRPr="00ED58C1">
              <w:rPr>
                <w:lang w:eastAsia="ja-JP"/>
              </w:rPr>
              <w:t>°C</w:t>
            </w:r>
          </w:p>
        </w:tc>
        <w:tc>
          <w:tcPr>
            <w:tcW w:w="903" w:type="dxa"/>
            <w:tcBorders>
              <w:top w:val="single" w:sz="4" w:space="0" w:color="auto"/>
              <w:bottom w:val="single" w:sz="4" w:space="0" w:color="auto"/>
            </w:tcBorders>
            <w:noWrap/>
            <w:vAlign w:val="center"/>
            <w:hideMark/>
          </w:tcPr>
          <w:p w14:paraId="2A47B035" w14:textId="3602F212" w:rsidR="00037131" w:rsidRPr="00ED58C1" w:rsidRDefault="00037131" w:rsidP="00ED58C1">
            <w:pPr>
              <w:pStyle w:val="TableContent"/>
              <w:jc w:val="center"/>
            </w:pPr>
            <w:r w:rsidRPr="00ED58C1">
              <w:t>700</w:t>
            </w:r>
            <w:r w:rsidRPr="00ED58C1">
              <w:rPr>
                <w:lang w:eastAsia="ja-JP"/>
              </w:rPr>
              <w:t>°C</w:t>
            </w:r>
          </w:p>
        </w:tc>
        <w:tc>
          <w:tcPr>
            <w:tcW w:w="821" w:type="dxa"/>
            <w:tcBorders>
              <w:top w:val="single" w:sz="4" w:space="0" w:color="auto"/>
              <w:bottom w:val="single" w:sz="4" w:space="0" w:color="auto"/>
            </w:tcBorders>
            <w:vAlign w:val="center"/>
          </w:tcPr>
          <w:p w14:paraId="4114F5A7" w14:textId="24F0EFB8" w:rsidR="00037131" w:rsidRPr="00ED58C1" w:rsidRDefault="00037131" w:rsidP="00ED58C1">
            <w:pPr>
              <w:pStyle w:val="TableContent"/>
              <w:jc w:val="center"/>
            </w:pPr>
            <w:r w:rsidRPr="00ED58C1">
              <w:t>800</w:t>
            </w:r>
            <w:r w:rsidRPr="00ED58C1">
              <w:rPr>
                <w:lang w:eastAsia="ja-JP"/>
              </w:rPr>
              <w:t>°C</w:t>
            </w:r>
          </w:p>
        </w:tc>
      </w:tr>
      <w:tr w:rsidR="00037131" w:rsidRPr="009D6EE5" w14:paraId="3546837B" w14:textId="250E20D4" w:rsidTr="00FF55BB">
        <w:trPr>
          <w:trHeight w:val="227"/>
        </w:trPr>
        <w:tc>
          <w:tcPr>
            <w:tcW w:w="2410" w:type="dxa"/>
            <w:tcBorders>
              <w:top w:val="single" w:sz="4" w:space="0" w:color="auto"/>
            </w:tcBorders>
            <w:noWrap/>
            <w:hideMark/>
          </w:tcPr>
          <w:p w14:paraId="741F3A3D" w14:textId="2F3409EC" w:rsidR="00037131" w:rsidRPr="00DF216B" w:rsidRDefault="00037131" w:rsidP="00ED58C1">
            <w:pPr>
              <w:pStyle w:val="TableContent"/>
              <w:rPr>
                <w:b/>
                <w:bCs/>
              </w:rPr>
            </w:pPr>
            <w:r w:rsidRPr="009D6EE5">
              <w:t>Proximate</w:t>
            </w:r>
            <w:r w:rsidR="00DF216B">
              <w:t xml:space="preserve"> </w:t>
            </w:r>
          </w:p>
        </w:tc>
        <w:tc>
          <w:tcPr>
            <w:tcW w:w="1585" w:type="dxa"/>
            <w:tcBorders>
              <w:top w:val="single" w:sz="4" w:space="0" w:color="auto"/>
            </w:tcBorders>
            <w:noWrap/>
            <w:hideMark/>
          </w:tcPr>
          <w:p w14:paraId="6D0A1A7D" w14:textId="77777777" w:rsidR="00037131" w:rsidRPr="009D6EE5" w:rsidRDefault="00037131" w:rsidP="00ED58C1">
            <w:pPr>
              <w:pStyle w:val="TableContent"/>
            </w:pPr>
            <w:r w:rsidRPr="009D6EE5">
              <w:t> </w:t>
            </w:r>
          </w:p>
        </w:tc>
        <w:tc>
          <w:tcPr>
            <w:tcW w:w="980" w:type="dxa"/>
            <w:tcBorders>
              <w:top w:val="single" w:sz="4" w:space="0" w:color="auto"/>
            </w:tcBorders>
            <w:noWrap/>
            <w:hideMark/>
          </w:tcPr>
          <w:p w14:paraId="37A70FA4" w14:textId="77777777" w:rsidR="00037131" w:rsidRPr="009D6EE5" w:rsidRDefault="00037131" w:rsidP="00ED58C1">
            <w:pPr>
              <w:pStyle w:val="TableContent"/>
            </w:pPr>
            <w:r w:rsidRPr="009D6EE5">
              <w:t> </w:t>
            </w:r>
          </w:p>
        </w:tc>
        <w:tc>
          <w:tcPr>
            <w:tcW w:w="903" w:type="dxa"/>
            <w:tcBorders>
              <w:top w:val="single" w:sz="4" w:space="0" w:color="auto"/>
            </w:tcBorders>
            <w:noWrap/>
            <w:hideMark/>
          </w:tcPr>
          <w:p w14:paraId="1F0FE584" w14:textId="77777777" w:rsidR="00037131" w:rsidRPr="009D6EE5" w:rsidRDefault="00037131" w:rsidP="00ED58C1">
            <w:pPr>
              <w:pStyle w:val="TableContent"/>
            </w:pPr>
            <w:r w:rsidRPr="009D6EE5">
              <w:t> </w:t>
            </w:r>
          </w:p>
        </w:tc>
        <w:tc>
          <w:tcPr>
            <w:tcW w:w="903" w:type="dxa"/>
            <w:tcBorders>
              <w:top w:val="single" w:sz="4" w:space="0" w:color="auto"/>
            </w:tcBorders>
            <w:noWrap/>
            <w:hideMark/>
          </w:tcPr>
          <w:p w14:paraId="3FE4B1C0" w14:textId="77777777" w:rsidR="00037131" w:rsidRPr="009D6EE5" w:rsidRDefault="00037131" w:rsidP="00ED58C1">
            <w:pPr>
              <w:pStyle w:val="TableContent"/>
            </w:pPr>
            <w:r w:rsidRPr="009D6EE5">
              <w:t> </w:t>
            </w:r>
          </w:p>
        </w:tc>
        <w:tc>
          <w:tcPr>
            <w:tcW w:w="903" w:type="dxa"/>
            <w:tcBorders>
              <w:top w:val="single" w:sz="4" w:space="0" w:color="auto"/>
            </w:tcBorders>
            <w:noWrap/>
            <w:hideMark/>
          </w:tcPr>
          <w:p w14:paraId="4383E073" w14:textId="77777777" w:rsidR="00037131" w:rsidRPr="009D6EE5" w:rsidRDefault="00037131" w:rsidP="00ED58C1">
            <w:pPr>
              <w:pStyle w:val="TableContent"/>
            </w:pPr>
            <w:r w:rsidRPr="009D6EE5">
              <w:t> </w:t>
            </w:r>
          </w:p>
        </w:tc>
        <w:tc>
          <w:tcPr>
            <w:tcW w:w="821" w:type="dxa"/>
            <w:tcBorders>
              <w:top w:val="single" w:sz="4" w:space="0" w:color="auto"/>
            </w:tcBorders>
          </w:tcPr>
          <w:p w14:paraId="71DA4807" w14:textId="77777777" w:rsidR="00037131" w:rsidRPr="009D6EE5" w:rsidRDefault="00037131" w:rsidP="00ED58C1">
            <w:pPr>
              <w:pStyle w:val="TableContent"/>
            </w:pPr>
          </w:p>
        </w:tc>
      </w:tr>
      <w:tr w:rsidR="00037131" w:rsidRPr="009D6EE5" w14:paraId="5F993AE1" w14:textId="7F492C55" w:rsidTr="00FF55BB">
        <w:trPr>
          <w:trHeight w:val="227"/>
        </w:trPr>
        <w:tc>
          <w:tcPr>
            <w:tcW w:w="2410" w:type="dxa"/>
            <w:noWrap/>
            <w:hideMark/>
          </w:tcPr>
          <w:p w14:paraId="6D2EC824" w14:textId="4CD3C980" w:rsidR="00037131" w:rsidRPr="005514E2" w:rsidRDefault="00037131" w:rsidP="00ED58C1">
            <w:pPr>
              <w:pStyle w:val="TableContent"/>
              <w:rPr>
                <w:b/>
                <w:bCs/>
              </w:rPr>
            </w:pPr>
            <w:r w:rsidRPr="005514E2">
              <w:t xml:space="preserve">  </w:t>
            </w:r>
            <w:r w:rsidR="00275988">
              <w:t>Moisture</w:t>
            </w:r>
          </w:p>
        </w:tc>
        <w:tc>
          <w:tcPr>
            <w:tcW w:w="1585" w:type="dxa"/>
            <w:noWrap/>
            <w:hideMark/>
          </w:tcPr>
          <w:p w14:paraId="36C111B4" w14:textId="0A9130B2" w:rsidR="00037131" w:rsidRPr="009D6EE5" w:rsidRDefault="00037131" w:rsidP="00ED58C1">
            <w:pPr>
              <w:pStyle w:val="TableContent"/>
              <w:jc w:val="center"/>
            </w:pPr>
            <w:r>
              <w:t>%</w:t>
            </w:r>
            <w:proofErr w:type="spellStart"/>
            <w:r>
              <w:t>adb</w:t>
            </w:r>
            <w:proofErr w:type="spellEnd"/>
          </w:p>
        </w:tc>
        <w:tc>
          <w:tcPr>
            <w:tcW w:w="980" w:type="dxa"/>
            <w:noWrap/>
          </w:tcPr>
          <w:p w14:paraId="27D0ED59" w14:textId="768A240E" w:rsidR="00037131" w:rsidRPr="00037131" w:rsidRDefault="00275988" w:rsidP="00ED58C1">
            <w:pPr>
              <w:pStyle w:val="TableContent"/>
              <w:jc w:val="right"/>
            </w:pPr>
            <w:r>
              <w:t>10.57</w:t>
            </w:r>
          </w:p>
        </w:tc>
        <w:tc>
          <w:tcPr>
            <w:tcW w:w="903" w:type="dxa"/>
            <w:noWrap/>
          </w:tcPr>
          <w:p w14:paraId="152E49B3" w14:textId="7D658697" w:rsidR="00037131" w:rsidRPr="0009381E" w:rsidRDefault="00275988" w:rsidP="00ED58C1">
            <w:pPr>
              <w:pStyle w:val="TableContent"/>
              <w:jc w:val="right"/>
            </w:pPr>
            <w:r>
              <w:t>5.5</w:t>
            </w:r>
          </w:p>
        </w:tc>
        <w:tc>
          <w:tcPr>
            <w:tcW w:w="903" w:type="dxa"/>
            <w:noWrap/>
          </w:tcPr>
          <w:p w14:paraId="2BCE0DC1" w14:textId="4AEC34EA" w:rsidR="00037131" w:rsidRPr="0009381E" w:rsidRDefault="00275988" w:rsidP="00ED58C1">
            <w:pPr>
              <w:pStyle w:val="TableContent"/>
              <w:jc w:val="right"/>
            </w:pPr>
            <w:r>
              <w:t>3.54</w:t>
            </w:r>
          </w:p>
        </w:tc>
        <w:tc>
          <w:tcPr>
            <w:tcW w:w="903" w:type="dxa"/>
            <w:noWrap/>
          </w:tcPr>
          <w:p w14:paraId="1AF261A8" w14:textId="5C0DD853" w:rsidR="00037131" w:rsidRPr="00414325" w:rsidRDefault="00275988" w:rsidP="00ED58C1">
            <w:pPr>
              <w:pStyle w:val="TableContent"/>
              <w:jc w:val="right"/>
            </w:pPr>
            <w:r>
              <w:t>7.14</w:t>
            </w:r>
          </w:p>
        </w:tc>
        <w:tc>
          <w:tcPr>
            <w:tcW w:w="821" w:type="dxa"/>
          </w:tcPr>
          <w:p w14:paraId="30B14D28" w14:textId="5F187635" w:rsidR="00037131" w:rsidRPr="00414325" w:rsidRDefault="00275988" w:rsidP="00ED58C1">
            <w:pPr>
              <w:pStyle w:val="TableContent"/>
              <w:jc w:val="right"/>
            </w:pPr>
            <w:r>
              <w:t>10</w:t>
            </w:r>
          </w:p>
        </w:tc>
      </w:tr>
      <w:tr w:rsidR="00275988" w:rsidRPr="009D6EE5" w14:paraId="0586533C" w14:textId="77777777" w:rsidTr="00FF55BB">
        <w:trPr>
          <w:trHeight w:val="227"/>
        </w:trPr>
        <w:tc>
          <w:tcPr>
            <w:tcW w:w="2410" w:type="dxa"/>
            <w:noWrap/>
          </w:tcPr>
          <w:p w14:paraId="15B426A1" w14:textId="739F0325" w:rsidR="00275988" w:rsidRPr="005514E2" w:rsidRDefault="00275988" w:rsidP="00ED58C1">
            <w:pPr>
              <w:pStyle w:val="TableContent"/>
            </w:pPr>
            <w:r w:rsidRPr="005514E2">
              <w:t xml:space="preserve">  Fixed carbon</w:t>
            </w:r>
          </w:p>
        </w:tc>
        <w:tc>
          <w:tcPr>
            <w:tcW w:w="1585" w:type="dxa"/>
            <w:noWrap/>
          </w:tcPr>
          <w:p w14:paraId="3B3AB17A" w14:textId="36488798" w:rsidR="00275988" w:rsidRDefault="00275988" w:rsidP="00ED58C1">
            <w:pPr>
              <w:pStyle w:val="TableContent"/>
              <w:jc w:val="center"/>
            </w:pPr>
            <w:r>
              <w:t>%</w:t>
            </w:r>
            <w:proofErr w:type="spellStart"/>
            <w:r>
              <w:t>adb</w:t>
            </w:r>
            <w:proofErr w:type="spellEnd"/>
          </w:p>
        </w:tc>
        <w:tc>
          <w:tcPr>
            <w:tcW w:w="980" w:type="dxa"/>
            <w:noWrap/>
          </w:tcPr>
          <w:p w14:paraId="55B757A1" w14:textId="1786B474" w:rsidR="00275988" w:rsidRDefault="00275988" w:rsidP="00ED58C1">
            <w:pPr>
              <w:pStyle w:val="TableContent"/>
              <w:jc w:val="right"/>
            </w:pPr>
            <w:r>
              <w:t>42.86</w:t>
            </w:r>
          </w:p>
        </w:tc>
        <w:tc>
          <w:tcPr>
            <w:tcW w:w="903" w:type="dxa"/>
            <w:noWrap/>
          </w:tcPr>
          <w:p w14:paraId="75A9B22C" w14:textId="25C57EA3" w:rsidR="00275988" w:rsidRDefault="00275988" w:rsidP="00ED58C1">
            <w:pPr>
              <w:pStyle w:val="TableContent"/>
              <w:jc w:val="right"/>
            </w:pPr>
            <w:r>
              <w:t>66.29</w:t>
            </w:r>
          </w:p>
        </w:tc>
        <w:tc>
          <w:tcPr>
            <w:tcW w:w="903" w:type="dxa"/>
            <w:noWrap/>
          </w:tcPr>
          <w:p w14:paraId="0A253767" w14:textId="24980B68" w:rsidR="00275988" w:rsidRDefault="00275988" w:rsidP="00ED58C1">
            <w:pPr>
              <w:pStyle w:val="TableContent"/>
              <w:jc w:val="right"/>
            </w:pPr>
            <w:r>
              <w:t>77.34</w:t>
            </w:r>
          </w:p>
        </w:tc>
        <w:tc>
          <w:tcPr>
            <w:tcW w:w="903" w:type="dxa"/>
            <w:noWrap/>
          </w:tcPr>
          <w:p w14:paraId="50CB0FCE" w14:textId="77FA669A" w:rsidR="00275988" w:rsidRDefault="00275988" w:rsidP="00ED58C1">
            <w:pPr>
              <w:pStyle w:val="TableContent"/>
              <w:jc w:val="right"/>
            </w:pPr>
            <w:r>
              <w:t>80.17</w:t>
            </w:r>
          </w:p>
        </w:tc>
        <w:tc>
          <w:tcPr>
            <w:tcW w:w="821" w:type="dxa"/>
          </w:tcPr>
          <w:p w14:paraId="192A442E" w14:textId="5C3F0945" w:rsidR="00275988" w:rsidRDefault="00275988" w:rsidP="00ED58C1">
            <w:pPr>
              <w:pStyle w:val="TableContent"/>
              <w:jc w:val="right"/>
            </w:pPr>
            <w:r>
              <w:t>79.56</w:t>
            </w:r>
          </w:p>
        </w:tc>
      </w:tr>
      <w:tr w:rsidR="00275988" w:rsidRPr="009D6EE5" w14:paraId="749B80EC" w14:textId="0CE90917" w:rsidTr="00FF55BB">
        <w:trPr>
          <w:trHeight w:val="227"/>
        </w:trPr>
        <w:tc>
          <w:tcPr>
            <w:tcW w:w="2410" w:type="dxa"/>
            <w:tcBorders>
              <w:bottom w:val="nil"/>
            </w:tcBorders>
            <w:noWrap/>
            <w:hideMark/>
          </w:tcPr>
          <w:p w14:paraId="1474A335" w14:textId="3980FC32" w:rsidR="00275988" w:rsidRPr="005514E2" w:rsidRDefault="00275988" w:rsidP="00ED58C1">
            <w:pPr>
              <w:pStyle w:val="TableContent"/>
              <w:rPr>
                <w:b/>
                <w:bCs/>
              </w:rPr>
            </w:pPr>
            <w:r w:rsidRPr="005514E2">
              <w:t xml:space="preserve">  Volatile matter</w:t>
            </w:r>
          </w:p>
        </w:tc>
        <w:tc>
          <w:tcPr>
            <w:tcW w:w="1585" w:type="dxa"/>
            <w:tcBorders>
              <w:bottom w:val="nil"/>
            </w:tcBorders>
            <w:noWrap/>
            <w:hideMark/>
          </w:tcPr>
          <w:p w14:paraId="59A5D715" w14:textId="1FFD0500" w:rsidR="00275988" w:rsidRPr="009D6EE5" w:rsidRDefault="00275988" w:rsidP="00ED58C1">
            <w:pPr>
              <w:pStyle w:val="TableContent"/>
              <w:jc w:val="center"/>
            </w:pPr>
            <w:r>
              <w:t>%</w:t>
            </w:r>
            <w:proofErr w:type="spellStart"/>
            <w:r>
              <w:t>adb</w:t>
            </w:r>
            <w:proofErr w:type="spellEnd"/>
          </w:p>
        </w:tc>
        <w:tc>
          <w:tcPr>
            <w:tcW w:w="980" w:type="dxa"/>
            <w:tcBorders>
              <w:bottom w:val="nil"/>
            </w:tcBorders>
            <w:noWrap/>
          </w:tcPr>
          <w:p w14:paraId="4A392EA0" w14:textId="0B15D23C" w:rsidR="00275988" w:rsidRPr="00037131" w:rsidRDefault="00275988" w:rsidP="00ED58C1">
            <w:pPr>
              <w:pStyle w:val="TableContent"/>
              <w:jc w:val="right"/>
            </w:pPr>
            <w:r>
              <w:t>44.05</w:t>
            </w:r>
          </w:p>
        </w:tc>
        <w:tc>
          <w:tcPr>
            <w:tcW w:w="903" w:type="dxa"/>
            <w:tcBorders>
              <w:bottom w:val="nil"/>
            </w:tcBorders>
            <w:noWrap/>
          </w:tcPr>
          <w:p w14:paraId="0EBE7C7B" w14:textId="2765A07D" w:rsidR="00275988" w:rsidRPr="00414325" w:rsidRDefault="00275988" w:rsidP="00ED58C1">
            <w:pPr>
              <w:pStyle w:val="TableContent"/>
              <w:jc w:val="right"/>
            </w:pPr>
            <w:r>
              <w:t>24.30</w:t>
            </w:r>
          </w:p>
        </w:tc>
        <w:tc>
          <w:tcPr>
            <w:tcW w:w="903" w:type="dxa"/>
            <w:tcBorders>
              <w:bottom w:val="nil"/>
            </w:tcBorders>
            <w:noWrap/>
          </w:tcPr>
          <w:p w14:paraId="3CBA31AE" w14:textId="0E25555B" w:rsidR="00275988" w:rsidRPr="00414325" w:rsidRDefault="00275988" w:rsidP="00ED58C1">
            <w:pPr>
              <w:pStyle w:val="TableContent"/>
              <w:jc w:val="right"/>
            </w:pPr>
            <w:r>
              <w:t>14.48</w:t>
            </w:r>
          </w:p>
        </w:tc>
        <w:tc>
          <w:tcPr>
            <w:tcW w:w="903" w:type="dxa"/>
            <w:tcBorders>
              <w:bottom w:val="nil"/>
            </w:tcBorders>
            <w:noWrap/>
          </w:tcPr>
          <w:p w14:paraId="4E10C67D" w14:textId="3B9106BC" w:rsidR="00275988" w:rsidRPr="00414325" w:rsidRDefault="00275988" w:rsidP="00ED58C1">
            <w:pPr>
              <w:pStyle w:val="TableContent"/>
              <w:jc w:val="right"/>
            </w:pPr>
            <w:r>
              <w:t>7.88</w:t>
            </w:r>
          </w:p>
        </w:tc>
        <w:tc>
          <w:tcPr>
            <w:tcW w:w="821" w:type="dxa"/>
            <w:tcBorders>
              <w:bottom w:val="nil"/>
            </w:tcBorders>
          </w:tcPr>
          <w:p w14:paraId="4FF567FC" w14:textId="3C2B6EF0" w:rsidR="00275988" w:rsidRPr="00414325" w:rsidRDefault="00275988" w:rsidP="00ED58C1">
            <w:pPr>
              <w:pStyle w:val="TableContent"/>
              <w:jc w:val="right"/>
            </w:pPr>
            <w:r>
              <w:t>5.38</w:t>
            </w:r>
          </w:p>
        </w:tc>
      </w:tr>
      <w:tr w:rsidR="00275988" w:rsidRPr="009D6EE5" w14:paraId="79B303F1" w14:textId="3B3F1DE3" w:rsidTr="00FF55BB">
        <w:trPr>
          <w:trHeight w:val="227"/>
        </w:trPr>
        <w:tc>
          <w:tcPr>
            <w:tcW w:w="2410" w:type="dxa"/>
            <w:tcBorders>
              <w:top w:val="nil"/>
              <w:bottom w:val="single" w:sz="4" w:space="0" w:color="auto"/>
            </w:tcBorders>
            <w:noWrap/>
            <w:hideMark/>
          </w:tcPr>
          <w:p w14:paraId="0CADE3EF" w14:textId="5B4082B4" w:rsidR="00275988" w:rsidRPr="005514E2" w:rsidRDefault="00275988" w:rsidP="00ED58C1">
            <w:pPr>
              <w:pStyle w:val="TableContent"/>
              <w:rPr>
                <w:b/>
                <w:bCs/>
              </w:rPr>
            </w:pPr>
            <w:r w:rsidRPr="005514E2">
              <w:t xml:space="preserve">  Ash</w:t>
            </w:r>
          </w:p>
        </w:tc>
        <w:tc>
          <w:tcPr>
            <w:tcW w:w="1585" w:type="dxa"/>
            <w:tcBorders>
              <w:top w:val="nil"/>
              <w:bottom w:val="single" w:sz="4" w:space="0" w:color="auto"/>
            </w:tcBorders>
            <w:noWrap/>
            <w:hideMark/>
          </w:tcPr>
          <w:p w14:paraId="060E0798" w14:textId="76631118" w:rsidR="00275988" w:rsidRPr="009D6EE5" w:rsidRDefault="00275988" w:rsidP="00ED58C1">
            <w:pPr>
              <w:pStyle w:val="TableContent"/>
              <w:jc w:val="center"/>
            </w:pPr>
            <w:r>
              <w:t>%</w:t>
            </w:r>
            <w:proofErr w:type="spellStart"/>
            <w:r>
              <w:t>adb</w:t>
            </w:r>
            <w:proofErr w:type="spellEnd"/>
          </w:p>
        </w:tc>
        <w:tc>
          <w:tcPr>
            <w:tcW w:w="980" w:type="dxa"/>
            <w:tcBorders>
              <w:top w:val="nil"/>
              <w:bottom w:val="single" w:sz="4" w:space="0" w:color="auto"/>
            </w:tcBorders>
            <w:noWrap/>
          </w:tcPr>
          <w:p w14:paraId="6345F56F" w14:textId="77610E92" w:rsidR="00275988" w:rsidRPr="00037131" w:rsidRDefault="00275988" w:rsidP="00ED58C1">
            <w:pPr>
              <w:pStyle w:val="TableContent"/>
              <w:jc w:val="right"/>
            </w:pPr>
            <w:r>
              <w:t>2.49</w:t>
            </w:r>
          </w:p>
        </w:tc>
        <w:tc>
          <w:tcPr>
            <w:tcW w:w="903" w:type="dxa"/>
            <w:tcBorders>
              <w:top w:val="nil"/>
              <w:bottom w:val="single" w:sz="4" w:space="0" w:color="auto"/>
            </w:tcBorders>
            <w:noWrap/>
          </w:tcPr>
          <w:p w14:paraId="0DE58B67" w14:textId="2270D0C1" w:rsidR="00275988" w:rsidRPr="009D2C4F" w:rsidRDefault="00275988" w:rsidP="00ED58C1">
            <w:pPr>
              <w:pStyle w:val="TableContent"/>
              <w:jc w:val="right"/>
            </w:pPr>
            <w:r>
              <w:t>3.91</w:t>
            </w:r>
          </w:p>
        </w:tc>
        <w:tc>
          <w:tcPr>
            <w:tcW w:w="903" w:type="dxa"/>
            <w:tcBorders>
              <w:top w:val="nil"/>
              <w:bottom w:val="single" w:sz="4" w:space="0" w:color="auto"/>
            </w:tcBorders>
            <w:noWrap/>
          </w:tcPr>
          <w:p w14:paraId="3A21AD5C" w14:textId="3E883504" w:rsidR="00275988" w:rsidRPr="009D2C4F" w:rsidRDefault="00275988" w:rsidP="00ED58C1">
            <w:pPr>
              <w:pStyle w:val="TableContent"/>
              <w:jc w:val="right"/>
            </w:pPr>
            <w:r>
              <w:t>4.64</w:t>
            </w:r>
          </w:p>
        </w:tc>
        <w:tc>
          <w:tcPr>
            <w:tcW w:w="903" w:type="dxa"/>
            <w:tcBorders>
              <w:top w:val="nil"/>
              <w:bottom w:val="single" w:sz="4" w:space="0" w:color="auto"/>
            </w:tcBorders>
            <w:noWrap/>
          </w:tcPr>
          <w:p w14:paraId="39046C14" w14:textId="73DE82D7" w:rsidR="00275988" w:rsidRPr="009D2C4F" w:rsidRDefault="00275988" w:rsidP="00ED58C1">
            <w:pPr>
              <w:pStyle w:val="TableContent"/>
              <w:jc w:val="right"/>
            </w:pPr>
            <w:r>
              <w:t>4.66</w:t>
            </w:r>
          </w:p>
        </w:tc>
        <w:tc>
          <w:tcPr>
            <w:tcW w:w="821" w:type="dxa"/>
            <w:tcBorders>
              <w:top w:val="nil"/>
              <w:bottom w:val="single" w:sz="4" w:space="0" w:color="auto"/>
            </w:tcBorders>
          </w:tcPr>
          <w:p w14:paraId="511A8662" w14:textId="0B4D3AFC" w:rsidR="00275988" w:rsidRPr="009D2C4F" w:rsidRDefault="00275988" w:rsidP="00ED58C1">
            <w:pPr>
              <w:pStyle w:val="TableContent"/>
              <w:jc w:val="right"/>
            </w:pPr>
            <w:r>
              <w:t>5.06</w:t>
            </w:r>
          </w:p>
        </w:tc>
      </w:tr>
      <w:tr w:rsidR="00275988" w:rsidRPr="009D6EE5" w14:paraId="436E5AA2" w14:textId="30298B96" w:rsidTr="00FF55BB">
        <w:trPr>
          <w:trHeight w:val="227"/>
        </w:trPr>
        <w:tc>
          <w:tcPr>
            <w:tcW w:w="2410" w:type="dxa"/>
            <w:tcBorders>
              <w:top w:val="single" w:sz="4" w:space="0" w:color="auto"/>
            </w:tcBorders>
            <w:noWrap/>
            <w:hideMark/>
          </w:tcPr>
          <w:p w14:paraId="5CDAE2CD" w14:textId="2DCC806E" w:rsidR="00275988" w:rsidRPr="009D6EE5" w:rsidRDefault="00275988" w:rsidP="00ED58C1">
            <w:pPr>
              <w:pStyle w:val="TableContent"/>
              <w:rPr>
                <w:b/>
                <w:bCs/>
              </w:rPr>
            </w:pPr>
            <w:r w:rsidRPr="009D6EE5">
              <w:t>Ultimate</w:t>
            </w:r>
          </w:p>
        </w:tc>
        <w:tc>
          <w:tcPr>
            <w:tcW w:w="1585" w:type="dxa"/>
            <w:tcBorders>
              <w:top w:val="single" w:sz="4" w:space="0" w:color="auto"/>
            </w:tcBorders>
            <w:noWrap/>
            <w:hideMark/>
          </w:tcPr>
          <w:p w14:paraId="543BB8AD" w14:textId="38AE83AE" w:rsidR="00275988" w:rsidRPr="009D6EE5" w:rsidRDefault="00275988" w:rsidP="00ED58C1">
            <w:pPr>
              <w:pStyle w:val="TableContent"/>
              <w:jc w:val="center"/>
            </w:pPr>
          </w:p>
        </w:tc>
        <w:tc>
          <w:tcPr>
            <w:tcW w:w="980" w:type="dxa"/>
            <w:tcBorders>
              <w:top w:val="single" w:sz="4" w:space="0" w:color="auto"/>
            </w:tcBorders>
            <w:noWrap/>
          </w:tcPr>
          <w:p w14:paraId="12289566" w14:textId="7FC07B66" w:rsidR="00275988" w:rsidRPr="009D6EE5" w:rsidRDefault="00275988" w:rsidP="00ED58C1">
            <w:pPr>
              <w:pStyle w:val="TableContent"/>
              <w:jc w:val="right"/>
            </w:pPr>
          </w:p>
        </w:tc>
        <w:tc>
          <w:tcPr>
            <w:tcW w:w="903" w:type="dxa"/>
            <w:tcBorders>
              <w:top w:val="single" w:sz="4" w:space="0" w:color="auto"/>
            </w:tcBorders>
            <w:noWrap/>
          </w:tcPr>
          <w:p w14:paraId="39F827A5" w14:textId="17601091" w:rsidR="00275988" w:rsidRPr="009D6EE5" w:rsidRDefault="00275988" w:rsidP="00ED58C1">
            <w:pPr>
              <w:pStyle w:val="TableContent"/>
              <w:jc w:val="right"/>
            </w:pPr>
          </w:p>
        </w:tc>
        <w:tc>
          <w:tcPr>
            <w:tcW w:w="903" w:type="dxa"/>
            <w:tcBorders>
              <w:top w:val="single" w:sz="4" w:space="0" w:color="auto"/>
            </w:tcBorders>
            <w:noWrap/>
          </w:tcPr>
          <w:p w14:paraId="0015CAA0" w14:textId="547B4056" w:rsidR="00275988" w:rsidRPr="009D6EE5" w:rsidRDefault="00275988" w:rsidP="00ED58C1">
            <w:pPr>
              <w:pStyle w:val="TableContent"/>
              <w:jc w:val="right"/>
            </w:pPr>
          </w:p>
        </w:tc>
        <w:tc>
          <w:tcPr>
            <w:tcW w:w="903" w:type="dxa"/>
            <w:tcBorders>
              <w:top w:val="single" w:sz="4" w:space="0" w:color="auto"/>
            </w:tcBorders>
            <w:noWrap/>
          </w:tcPr>
          <w:p w14:paraId="5F0AFBE5" w14:textId="70E32123" w:rsidR="00275988" w:rsidRPr="009D6EE5" w:rsidRDefault="00275988" w:rsidP="00ED58C1">
            <w:pPr>
              <w:pStyle w:val="TableContent"/>
              <w:jc w:val="right"/>
            </w:pPr>
          </w:p>
        </w:tc>
        <w:tc>
          <w:tcPr>
            <w:tcW w:w="821" w:type="dxa"/>
            <w:tcBorders>
              <w:top w:val="single" w:sz="4" w:space="0" w:color="auto"/>
            </w:tcBorders>
          </w:tcPr>
          <w:p w14:paraId="459AAE37" w14:textId="77777777" w:rsidR="00275988" w:rsidRPr="009D6EE5" w:rsidRDefault="00275988" w:rsidP="00ED58C1">
            <w:pPr>
              <w:pStyle w:val="TableContent"/>
              <w:jc w:val="right"/>
            </w:pPr>
          </w:p>
        </w:tc>
      </w:tr>
      <w:tr w:rsidR="00275988" w:rsidRPr="009D6EE5" w14:paraId="795391B4" w14:textId="1B701064" w:rsidTr="00FF55BB">
        <w:trPr>
          <w:trHeight w:val="227"/>
        </w:trPr>
        <w:tc>
          <w:tcPr>
            <w:tcW w:w="2410" w:type="dxa"/>
            <w:noWrap/>
            <w:hideMark/>
          </w:tcPr>
          <w:p w14:paraId="2640E4E6" w14:textId="4418050E" w:rsidR="00275988" w:rsidRPr="005514E2" w:rsidRDefault="00275988" w:rsidP="00ED58C1">
            <w:pPr>
              <w:pStyle w:val="TableContent"/>
              <w:rPr>
                <w:b/>
                <w:bCs/>
              </w:rPr>
            </w:pPr>
            <w:r w:rsidRPr="005514E2">
              <w:t xml:space="preserve">  Carbon</w:t>
            </w:r>
          </w:p>
        </w:tc>
        <w:tc>
          <w:tcPr>
            <w:tcW w:w="1585" w:type="dxa"/>
            <w:noWrap/>
            <w:hideMark/>
          </w:tcPr>
          <w:p w14:paraId="229A106A" w14:textId="244D5617" w:rsidR="00275988" w:rsidRPr="009D6EE5" w:rsidRDefault="00275988" w:rsidP="00ED58C1">
            <w:pPr>
              <w:pStyle w:val="TableContent"/>
              <w:jc w:val="center"/>
            </w:pPr>
            <w:r>
              <w:t>%</w:t>
            </w:r>
            <w:proofErr w:type="spellStart"/>
            <w:r>
              <w:t>adb</w:t>
            </w:r>
            <w:proofErr w:type="spellEnd"/>
          </w:p>
        </w:tc>
        <w:tc>
          <w:tcPr>
            <w:tcW w:w="980" w:type="dxa"/>
            <w:noWrap/>
          </w:tcPr>
          <w:p w14:paraId="0B748994" w14:textId="63BA4798" w:rsidR="00275988" w:rsidRPr="00037131" w:rsidRDefault="00275988" w:rsidP="00ED58C1">
            <w:pPr>
              <w:pStyle w:val="TableContent"/>
              <w:jc w:val="right"/>
            </w:pPr>
            <w:r>
              <w:t>60.31</w:t>
            </w:r>
          </w:p>
        </w:tc>
        <w:tc>
          <w:tcPr>
            <w:tcW w:w="903" w:type="dxa"/>
            <w:noWrap/>
          </w:tcPr>
          <w:p w14:paraId="10CEA8CB" w14:textId="6B166FE8" w:rsidR="00275988" w:rsidRPr="005C134F" w:rsidRDefault="00275988" w:rsidP="00ED58C1">
            <w:pPr>
              <w:pStyle w:val="TableContent"/>
              <w:jc w:val="right"/>
            </w:pPr>
            <w:r>
              <w:t>72.34</w:t>
            </w:r>
          </w:p>
        </w:tc>
        <w:tc>
          <w:tcPr>
            <w:tcW w:w="903" w:type="dxa"/>
            <w:noWrap/>
          </w:tcPr>
          <w:p w14:paraId="632E25CC" w14:textId="6699A6E6" w:rsidR="00275988" w:rsidRPr="005C134F" w:rsidRDefault="00275988" w:rsidP="00ED58C1">
            <w:pPr>
              <w:pStyle w:val="TableContent"/>
              <w:jc w:val="right"/>
            </w:pPr>
            <w:r>
              <w:t>80.40</w:t>
            </w:r>
          </w:p>
        </w:tc>
        <w:tc>
          <w:tcPr>
            <w:tcW w:w="903" w:type="dxa"/>
            <w:noWrap/>
          </w:tcPr>
          <w:p w14:paraId="7C6CE9D5" w14:textId="337C2B97" w:rsidR="00275988" w:rsidRPr="005C134F" w:rsidRDefault="00275988" w:rsidP="00ED58C1">
            <w:pPr>
              <w:pStyle w:val="TableContent"/>
              <w:jc w:val="right"/>
            </w:pPr>
            <w:r>
              <w:t>80.95</w:t>
            </w:r>
          </w:p>
        </w:tc>
        <w:tc>
          <w:tcPr>
            <w:tcW w:w="821" w:type="dxa"/>
          </w:tcPr>
          <w:p w14:paraId="58042E44" w14:textId="4F5BC6DC" w:rsidR="00275988" w:rsidRPr="005C134F" w:rsidRDefault="00275988" w:rsidP="00ED58C1">
            <w:pPr>
              <w:pStyle w:val="TableContent"/>
              <w:jc w:val="right"/>
            </w:pPr>
            <w:r>
              <w:t>79.43</w:t>
            </w:r>
          </w:p>
        </w:tc>
      </w:tr>
      <w:tr w:rsidR="00275988" w:rsidRPr="009D6EE5" w14:paraId="6363E9C3" w14:textId="4A9E69DD" w:rsidTr="00FF55BB">
        <w:trPr>
          <w:trHeight w:val="227"/>
        </w:trPr>
        <w:tc>
          <w:tcPr>
            <w:tcW w:w="2410" w:type="dxa"/>
            <w:noWrap/>
            <w:hideMark/>
          </w:tcPr>
          <w:p w14:paraId="16099403" w14:textId="2B95CBFB" w:rsidR="00275988" w:rsidRPr="005514E2" w:rsidRDefault="00275988" w:rsidP="00ED58C1">
            <w:pPr>
              <w:pStyle w:val="TableContent"/>
              <w:rPr>
                <w:b/>
                <w:bCs/>
              </w:rPr>
            </w:pPr>
            <w:r w:rsidRPr="005514E2">
              <w:t xml:space="preserve">  Hydrogen</w:t>
            </w:r>
          </w:p>
        </w:tc>
        <w:tc>
          <w:tcPr>
            <w:tcW w:w="1585" w:type="dxa"/>
            <w:noWrap/>
            <w:hideMark/>
          </w:tcPr>
          <w:p w14:paraId="0880070B" w14:textId="18DE52A2" w:rsidR="00275988" w:rsidRPr="009D6EE5" w:rsidRDefault="00275988" w:rsidP="00ED58C1">
            <w:pPr>
              <w:pStyle w:val="TableContent"/>
              <w:jc w:val="center"/>
            </w:pPr>
            <w:r>
              <w:t>%</w:t>
            </w:r>
            <w:proofErr w:type="spellStart"/>
            <w:r>
              <w:t>adb</w:t>
            </w:r>
            <w:proofErr w:type="spellEnd"/>
          </w:p>
        </w:tc>
        <w:tc>
          <w:tcPr>
            <w:tcW w:w="980" w:type="dxa"/>
            <w:noWrap/>
          </w:tcPr>
          <w:p w14:paraId="329ADD34" w14:textId="439474F2" w:rsidR="00275988" w:rsidRPr="00037131" w:rsidRDefault="00275988" w:rsidP="00ED58C1">
            <w:pPr>
              <w:pStyle w:val="TableContent"/>
              <w:jc w:val="right"/>
            </w:pPr>
            <w:r>
              <w:t>5.24</w:t>
            </w:r>
          </w:p>
        </w:tc>
        <w:tc>
          <w:tcPr>
            <w:tcW w:w="903" w:type="dxa"/>
            <w:noWrap/>
          </w:tcPr>
          <w:p w14:paraId="7A24F42C" w14:textId="633F2180" w:rsidR="00275988" w:rsidRPr="00510A46" w:rsidRDefault="00275988" w:rsidP="00ED58C1">
            <w:pPr>
              <w:pStyle w:val="TableContent"/>
              <w:jc w:val="right"/>
            </w:pPr>
            <w:r>
              <w:t>3.69</w:t>
            </w:r>
          </w:p>
        </w:tc>
        <w:tc>
          <w:tcPr>
            <w:tcW w:w="903" w:type="dxa"/>
            <w:noWrap/>
          </w:tcPr>
          <w:p w14:paraId="76B8257B" w14:textId="38605A86" w:rsidR="00275988" w:rsidRPr="00510A46" w:rsidRDefault="00275988" w:rsidP="00ED58C1">
            <w:pPr>
              <w:pStyle w:val="TableContent"/>
              <w:jc w:val="right"/>
            </w:pPr>
            <w:r>
              <w:t>2.96</w:t>
            </w:r>
          </w:p>
        </w:tc>
        <w:tc>
          <w:tcPr>
            <w:tcW w:w="903" w:type="dxa"/>
            <w:noWrap/>
          </w:tcPr>
          <w:p w14:paraId="1182D64C" w14:textId="4D5F14B4" w:rsidR="00275988" w:rsidRPr="00510A46" w:rsidRDefault="00275988" w:rsidP="00ED58C1">
            <w:pPr>
              <w:pStyle w:val="TableContent"/>
              <w:jc w:val="right"/>
            </w:pPr>
            <w:r>
              <w:t>2.58</w:t>
            </w:r>
          </w:p>
        </w:tc>
        <w:tc>
          <w:tcPr>
            <w:tcW w:w="821" w:type="dxa"/>
          </w:tcPr>
          <w:p w14:paraId="6539B820" w14:textId="25CC855C" w:rsidR="00275988" w:rsidRPr="00510A46" w:rsidRDefault="00275988" w:rsidP="00ED58C1">
            <w:pPr>
              <w:pStyle w:val="TableContent"/>
              <w:jc w:val="right"/>
            </w:pPr>
            <w:r>
              <w:t>2.21</w:t>
            </w:r>
          </w:p>
        </w:tc>
      </w:tr>
      <w:tr w:rsidR="00275988" w:rsidRPr="009D6EE5" w14:paraId="3C0F4AE1" w14:textId="30C48BEA" w:rsidTr="00FF55BB">
        <w:trPr>
          <w:trHeight w:val="227"/>
        </w:trPr>
        <w:tc>
          <w:tcPr>
            <w:tcW w:w="2410" w:type="dxa"/>
            <w:noWrap/>
            <w:hideMark/>
          </w:tcPr>
          <w:p w14:paraId="0B0BDAF9" w14:textId="77777777" w:rsidR="00275988" w:rsidRPr="005514E2" w:rsidRDefault="00275988" w:rsidP="00ED58C1">
            <w:pPr>
              <w:pStyle w:val="TableContent"/>
              <w:rPr>
                <w:b/>
                <w:bCs/>
              </w:rPr>
            </w:pPr>
            <w:r w:rsidRPr="005514E2">
              <w:t xml:space="preserve">  Nitrogen</w:t>
            </w:r>
          </w:p>
        </w:tc>
        <w:tc>
          <w:tcPr>
            <w:tcW w:w="1585" w:type="dxa"/>
            <w:noWrap/>
            <w:hideMark/>
          </w:tcPr>
          <w:p w14:paraId="60DC42F8" w14:textId="4AA008FE" w:rsidR="00275988" w:rsidRPr="009D6EE5" w:rsidRDefault="00275988" w:rsidP="00ED58C1">
            <w:pPr>
              <w:pStyle w:val="TableContent"/>
              <w:jc w:val="center"/>
            </w:pPr>
            <w:r>
              <w:t>%</w:t>
            </w:r>
            <w:proofErr w:type="spellStart"/>
            <w:r>
              <w:t>adb</w:t>
            </w:r>
            <w:proofErr w:type="spellEnd"/>
          </w:p>
        </w:tc>
        <w:tc>
          <w:tcPr>
            <w:tcW w:w="980" w:type="dxa"/>
            <w:noWrap/>
          </w:tcPr>
          <w:p w14:paraId="7D020CFD" w14:textId="182F7B61" w:rsidR="00275988" w:rsidRPr="00037131" w:rsidRDefault="00275988" w:rsidP="00ED58C1">
            <w:pPr>
              <w:pStyle w:val="TableContent"/>
              <w:jc w:val="right"/>
            </w:pPr>
            <w:r>
              <w:t>1.06</w:t>
            </w:r>
          </w:p>
        </w:tc>
        <w:tc>
          <w:tcPr>
            <w:tcW w:w="903" w:type="dxa"/>
            <w:noWrap/>
          </w:tcPr>
          <w:p w14:paraId="52B95180" w14:textId="02FE65AB" w:rsidR="00275988" w:rsidRPr="00ED4AD7" w:rsidRDefault="00275988" w:rsidP="00ED58C1">
            <w:pPr>
              <w:pStyle w:val="TableContent"/>
              <w:jc w:val="right"/>
            </w:pPr>
            <w:r>
              <w:t>1.38</w:t>
            </w:r>
          </w:p>
        </w:tc>
        <w:tc>
          <w:tcPr>
            <w:tcW w:w="903" w:type="dxa"/>
            <w:noWrap/>
          </w:tcPr>
          <w:p w14:paraId="2A7884A0" w14:textId="05798D86" w:rsidR="00275988" w:rsidRPr="00ED4AD7" w:rsidRDefault="00275988" w:rsidP="00ED58C1">
            <w:pPr>
              <w:pStyle w:val="TableContent"/>
              <w:jc w:val="right"/>
            </w:pPr>
            <w:r>
              <w:t>1.47</w:t>
            </w:r>
          </w:p>
        </w:tc>
        <w:tc>
          <w:tcPr>
            <w:tcW w:w="903" w:type="dxa"/>
            <w:noWrap/>
          </w:tcPr>
          <w:p w14:paraId="6C84C1E4" w14:textId="28B46DFE" w:rsidR="00275988" w:rsidRPr="00ED4AD7" w:rsidRDefault="00275988" w:rsidP="00ED58C1">
            <w:pPr>
              <w:pStyle w:val="TableContent"/>
              <w:jc w:val="right"/>
            </w:pPr>
            <w:r>
              <w:t>1.19</w:t>
            </w:r>
          </w:p>
        </w:tc>
        <w:tc>
          <w:tcPr>
            <w:tcW w:w="821" w:type="dxa"/>
          </w:tcPr>
          <w:p w14:paraId="72791E7F" w14:textId="25B680FA" w:rsidR="00275988" w:rsidRPr="00ED4AD7" w:rsidRDefault="00275988" w:rsidP="00ED58C1">
            <w:pPr>
              <w:pStyle w:val="TableContent"/>
              <w:jc w:val="right"/>
            </w:pPr>
            <w:r>
              <w:t>0.83</w:t>
            </w:r>
          </w:p>
        </w:tc>
      </w:tr>
      <w:tr w:rsidR="00275988" w:rsidRPr="009D6EE5" w14:paraId="69D3F94B" w14:textId="32AEB697" w:rsidTr="00FF55BB">
        <w:trPr>
          <w:trHeight w:val="227"/>
        </w:trPr>
        <w:tc>
          <w:tcPr>
            <w:tcW w:w="2410" w:type="dxa"/>
            <w:tcBorders>
              <w:bottom w:val="nil"/>
            </w:tcBorders>
            <w:noWrap/>
            <w:hideMark/>
          </w:tcPr>
          <w:p w14:paraId="31B867BD" w14:textId="55439867" w:rsidR="00275988" w:rsidRPr="005514E2" w:rsidRDefault="00275988" w:rsidP="00ED58C1">
            <w:pPr>
              <w:pStyle w:val="TableContent"/>
              <w:rPr>
                <w:b/>
                <w:bCs/>
              </w:rPr>
            </w:pPr>
            <w:r w:rsidRPr="005514E2">
              <w:t xml:space="preserve">  Sulphur</w:t>
            </w:r>
          </w:p>
        </w:tc>
        <w:tc>
          <w:tcPr>
            <w:tcW w:w="1585" w:type="dxa"/>
            <w:tcBorders>
              <w:bottom w:val="nil"/>
            </w:tcBorders>
            <w:noWrap/>
            <w:hideMark/>
          </w:tcPr>
          <w:p w14:paraId="0A709AE0" w14:textId="3EAFAD2B" w:rsidR="00275988" w:rsidRPr="009D6EE5" w:rsidRDefault="00275988" w:rsidP="00ED58C1">
            <w:pPr>
              <w:pStyle w:val="TableContent"/>
              <w:jc w:val="center"/>
            </w:pPr>
            <w:r>
              <w:t>%</w:t>
            </w:r>
            <w:proofErr w:type="spellStart"/>
            <w:r>
              <w:t>adb</w:t>
            </w:r>
            <w:proofErr w:type="spellEnd"/>
          </w:p>
        </w:tc>
        <w:tc>
          <w:tcPr>
            <w:tcW w:w="980" w:type="dxa"/>
            <w:tcBorders>
              <w:bottom w:val="nil"/>
            </w:tcBorders>
            <w:noWrap/>
          </w:tcPr>
          <w:p w14:paraId="1CF2355B" w14:textId="2EB56117" w:rsidR="00275988" w:rsidRPr="00037131" w:rsidRDefault="00275988" w:rsidP="00ED58C1">
            <w:pPr>
              <w:pStyle w:val="TableContent"/>
              <w:jc w:val="right"/>
            </w:pPr>
            <w:r>
              <w:t>0.22</w:t>
            </w:r>
          </w:p>
        </w:tc>
        <w:tc>
          <w:tcPr>
            <w:tcW w:w="903" w:type="dxa"/>
            <w:tcBorders>
              <w:bottom w:val="nil"/>
            </w:tcBorders>
            <w:noWrap/>
          </w:tcPr>
          <w:p w14:paraId="12F59D75" w14:textId="00D1A638" w:rsidR="00275988" w:rsidRPr="00874030" w:rsidRDefault="00275988" w:rsidP="00ED58C1">
            <w:pPr>
              <w:pStyle w:val="TableContent"/>
              <w:jc w:val="right"/>
            </w:pPr>
            <w:r>
              <w:t>0.2</w:t>
            </w:r>
          </w:p>
        </w:tc>
        <w:tc>
          <w:tcPr>
            <w:tcW w:w="903" w:type="dxa"/>
            <w:tcBorders>
              <w:bottom w:val="nil"/>
            </w:tcBorders>
            <w:noWrap/>
          </w:tcPr>
          <w:p w14:paraId="73A64A39" w14:textId="32B6A099" w:rsidR="00275988" w:rsidRPr="00874030" w:rsidRDefault="00275988" w:rsidP="00ED58C1">
            <w:pPr>
              <w:pStyle w:val="TableContent"/>
              <w:jc w:val="right"/>
            </w:pPr>
            <w:r>
              <w:t>0.26</w:t>
            </w:r>
          </w:p>
        </w:tc>
        <w:tc>
          <w:tcPr>
            <w:tcW w:w="903" w:type="dxa"/>
            <w:tcBorders>
              <w:bottom w:val="nil"/>
            </w:tcBorders>
            <w:noWrap/>
          </w:tcPr>
          <w:p w14:paraId="4D7A59CD" w14:textId="2DE56247" w:rsidR="00275988" w:rsidRPr="00874030" w:rsidRDefault="00275988" w:rsidP="00ED58C1">
            <w:pPr>
              <w:pStyle w:val="TableContent"/>
              <w:jc w:val="right"/>
            </w:pPr>
            <w:r>
              <w:t>0.27</w:t>
            </w:r>
          </w:p>
        </w:tc>
        <w:tc>
          <w:tcPr>
            <w:tcW w:w="821" w:type="dxa"/>
            <w:tcBorders>
              <w:bottom w:val="nil"/>
            </w:tcBorders>
          </w:tcPr>
          <w:p w14:paraId="64E65474" w14:textId="173ECDE1" w:rsidR="00275988" w:rsidRPr="00874030" w:rsidRDefault="00275988" w:rsidP="00ED58C1">
            <w:pPr>
              <w:pStyle w:val="TableContent"/>
              <w:jc w:val="right"/>
            </w:pPr>
            <w:r>
              <w:t>0.28</w:t>
            </w:r>
          </w:p>
        </w:tc>
      </w:tr>
      <w:tr w:rsidR="00275988" w:rsidRPr="009D6EE5" w14:paraId="31AC5E68" w14:textId="4C27BC8B" w:rsidTr="00FF55BB">
        <w:trPr>
          <w:trHeight w:val="227"/>
        </w:trPr>
        <w:tc>
          <w:tcPr>
            <w:tcW w:w="2410" w:type="dxa"/>
            <w:tcBorders>
              <w:top w:val="nil"/>
              <w:bottom w:val="single" w:sz="4" w:space="0" w:color="auto"/>
            </w:tcBorders>
            <w:noWrap/>
            <w:hideMark/>
          </w:tcPr>
          <w:p w14:paraId="040F9AB3" w14:textId="1A156E7C" w:rsidR="00275988" w:rsidRPr="005514E2" w:rsidRDefault="00275988" w:rsidP="00ED58C1">
            <w:pPr>
              <w:pStyle w:val="TableContent"/>
              <w:rPr>
                <w:b/>
                <w:bCs/>
              </w:rPr>
            </w:pPr>
            <w:r w:rsidRPr="005514E2">
              <w:t xml:space="preserve">  Oxygen</w:t>
            </w:r>
          </w:p>
        </w:tc>
        <w:tc>
          <w:tcPr>
            <w:tcW w:w="1585" w:type="dxa"/>
            <w:tcBorders>
              <w:top w:val="nil"/>
              <w:bottom w:val="single" w:sz="4" w:space="0" w:color="auto"/>
            </w:tcBorders>
            <w:noWrap/>
            <w:hideMark/>
          </w:tcPr>
          <w:p w14:paraId="65AE8072" w14:textId="4A5266E7" w:rsidR="00275988" w:rsidRPr="009D6EE5" w:rsidRDefault="00275988" w:rsidP="00ED58C1">
            <w:pPr>
              <w:pStyle w:val="TableContent"/>
              <w:jc w:val="center"/>
            </w:pPr>
            <w:r>
              <w:t>%</w:t>
            </w:r>
            <w:proofErr w:type="spellStart"/>
            <w:r>
              <w:t>adb</w:t>
            </w:r>
            <w:proofErr w:type="spellEnd"/>
          </w:p>
        </w:tc>
        <w:tc>
          <w:tcPr>
            <w:tcW w:w="980" w:type="dxa"/>
            <w:tcBorders>
              <w:top w:val="nil"/>
              <w:bottom w:val="single" w:sz="4" w:space="0" w:color="auto"/>
            </w:tcBorders>
            <w:noWrap/>
          </w:tcPr>
          <w:p w14:paraId="728270D3" w14:textId="0E8D39C8" w:rsidR="00275988" w:rsidRPr="00037131" w:rsidRDefault="00275988" w:rsidP="00ED58C1">
            <w:pPr>
              <w:pStyle w:val="TableContent"/>
              <w:jc w:val="right"/>
            </w:pPr>
            <w:r>
              <w:t>30.68</w:t>
            </w:r>
          </w:p>
        </w:tc>
        <w:tc>
          <w:tcPr>
            <w:tcW w:w="903" w:type="dxa"/>
            <w:tcBorders>
              <w:top w:val="nil"/>
              <w:bottom w:val="single" w:sz="4" w:space="0" w:color="auto"/>
            </w:tcBorders>
            <w:noWrap/>
          </w:tcPr>
          <w:p w14:paraId="112F3F93" w14:textId="14BD2656" w:rsidR="00275988" w:rsidRPr="00874030" w:rsidRDefault="00275988" w:rsidP="00ED58C1">
            <w:pPr>
              <w:pStyle w:val="TableContent"/>
              <w:jc w:val="right"/>
            </w:pPr>
            <w:r>
              <w:t>18.48</w:t>
            </w:r>
          </w:p>
        </w:tc>
        <w:tc>
          <w:tcPr>
            <w:tcW w:w="903" w:type="dxa"/>
            <w:tcBorders>
              <w:top w:val="nil"/>
              <w:bottom w:val="single" w:sz="4" w:space="0" w:color="auto"/>
            </w:tcBorders>
            <w:noWrap/>
          </w:tcPr>
          <w:p w14:paraId="5CA693B0" w14:textId="37F83F29" w:rsidR="00275988" w:rsidRPr="00874030" w:rsidRDefault="00275988" w:rsidP="00ED58C1">
            <w:pPr>
              <w:pStyle w:val="TableContent"/>
              <w:jc w:val="right"/>
            </w:pPr>
            <w:r>
              <w:t>10.27</w:t>
            </w:r>
          </w:p>
        </w:tc>
        <w:tc>
          <w:tcPr>
            <w:tcW w:w="903" w:type="dxa"/>
            <w:tcBorders>
              <w:top w:val="nil"/>
              <w:bottom w:val="single" w:sz="4" w:space="0" w:color="auto"/>
            </w:tcBorders>
            <w:noWrap/>
          </w:tcPr>
          <w:p w14:paraId="7D7CA3FF" w14:textId="5531B791" w:rsidR="00275988" w:rsidRPr="00874030" w:rsidRDefault="00275988" w:rsidP="00ED58C1">
            <w:pPr>
              <w:pStyle w:val="TableContent"/>
              <w:jc w:val="right"/>
            </w:pPr>
            <w:r>
              <w:t>10.35</w:t>
            </w:r>
          </w:p>
        </w:tc>
        <w:tc>
          <w:tcPr>
            <w:tcW w:w="821" w:type="dxa"/>
            <w:tcBorders>
              <w:top w:val="nil"/>
              <w:bottom w:val="single" w:sz="4" w:space="0" w:color="auto"/>
            </w:tcBorders>
          </w:tcPr>
          <w:p w14:paraId="6718C052" w14:textId="26BD0417" w:rsidR="00275988" w:rsidRPr="00874030" w:rsidRDefault="00275988" w:rsidP="00ED58C1">
            <w:pPr>
              <w:pStyle w:val="TableContent"/>
              <w:jc w:val="right"/>
            </w:pPr>
            <w:r>
              <w:t>12.19</w:t>
            </w:r>
          </w:p>
        </w:tc>
      </w:tr>
      <w:tr w:rsidR="00275988" w:rsidRPr="009D6EE5" w14:paraId="791A18B8" w14:textId="5C02FD15" w:rsidTr="00FF55BB">
        <w:trPr>
          <w:trHeight w:val="227"/>
        </w:trPr>
        <w:tc>
          <w:tcPr>
            <w:tcW w:w="2410" w:type="dxa"/>
            <w:tcBorders>
              <w:top w:val="single" w:sz="4" w:space="0" w:color="auto"/>
            </w:tcBorders>
            <w:noWrap/>
            <w:hideMark/>
          </w:tcPr>
          <w:p w14:paraId="11370336" w14:textId="142008A4" w:rsidR="00275988" w:rsidRPr="00D83189" w:rsidRDefault="00275988" w:rsidP="00ED58C1">
            <w:pPr>
              <w:pStyle w:val="TableContent"/>
              <w:rPr>
                <w:b/>
              </w:rPr>
            </w:pPr>
            <w:r w:rsidRPr="00D83189">
              <w:t xml:space="preserve">Calorific </w:t>
            </w:r>
            <w:r>
              <w:t>V</w:t>
            </w:r>
            <w:r w:rsidRPr="00D83189">
              <w:t>alue</w:t>
            </w:r>
          </w:p>
        </w:tc>
        <w:tc>
          <w:tcPr>
            <w:tcW w:w="1585" w:type="dxa"/>
            <w:tcBorders>
              <w:top w:val="single" w:sz="4" w:space="0" w:color="auto"/>
            </w:tcBorders>
            <w:noWrap/>
            <w:hideMark/>
          </w:tcPr>
          <w:p w14:paraId="0682FA86" w14:textId="587C96D7" w:rsidR="00275988" w:rsidRPr="0009381E" w:rsidRDefault="00275988" w:rsidP="00ED58C1">
            <w:pPr>
              <w:pStyle w:val="TableContent"/>
              <w:jc w:val="center"/>
            </w:pPr>
            <w:r>
              <w:t>kcal</w:t>
            </w:r>
            <w:r w:rsidRPr="009D6EE5">
              <w:t>/kg</w:t>
            </w:r>
            <w:r>
              <w:t>, %</w:t>
            </w:r>
            <w:proofErr w:type="spellStart"/>
            <w:r>
              <w:t>adb</w:t>
            </w:r>
            <w:proofErr w:type="spellEnd"/>
          </w:p>
        </w:tc>
        <w:tc>
          <w:tcPr>
            <w:tcW w:w="980" w:type="dxa"/>
            <w:tcBorders>
              <w:top w:val="single" w:sz="4" w:space="0" w:color="auto"/>
            </w:tcBorders>
            <w:noWrap/>
          </w:tcPr>
          <w:p w14:paraId="69D19A3A" w14:textId="7B8E03AA" w:rsidR="00275988" w:rsidRPr="00C57E97" w:rsidRDefault="00275988" w:rsidP="00ED58C1">
            <w:pPr>
              <w:pStyle w:val="TableContent"/>
              <w:jc w:val="right"/>
            </w:pPr>
            <w:r>
              <w:t>5,688</w:t>
            </w:r>
          </w:p>
        </w:tc>
        <w:tc>
          <w:tcPr>
            <w:tcW w:w="903" w:type="dxa"/>
            <w:tcBorders>
              <w:top w:val="single" w:sz="4" w:space="0" w:color="auto"/>
            </w:tcBorders>
            <w:noWrap/>
          </w:tcPr>
          <w:p w14:paraId="2916A213" w14:textId="20793421" w:rsidR="00275988" w:rsidRPr="00C57E97" w:rsidRDefault="00275988" w:rsidP="00ED58C1">
            <w:pPr>
              <w:pStyle w:val="TableContent"/>
              <w:jc w:val="right"/>
            </w:pPr>
            <w:r>
              <w:t>6,738</w:t>
            </w:r>
          </w:p>
        </w:tc>
        <w:tc>
          <w:tcPr>
            <w:tcW w:w="903" w:type="dxa"/>
            <w:tcBorders>
              <w:top w:val="single" w:sz="4" w:space="0" w:color="auto"/>
            </w:tcBorders>
            <w:noWrap/>
          </w:tcPr>
          <w:p w14:paraId="6454882B" w14:textId="1AC387E6" w:rsidR="00275988" w:rsidRPr="00C57E97" w:rsidRDefault="00275988" w:rsidP="00ED58C1">
            <w:pPr>
              <w:pStyle w:val="TableContent"/>
              <w:jc w:val="right"/>
            </w:pPr>
            <w:r>
              <w:t>7,298</w:t>
            </w:r>
          </w:p>
        </w:tc>
        <w:tc>
          <w:tcPr>
            <w:tcW w:w="903" w:type="dxa"/>
            <w:tcBorders>
              <w:top w:val="single" w:sz="4" w:space="0" w:color="auto"/>
            </w:tcBorders>
            <w:noWrap/>
          </w:tcPr>
          <w:p w14:paraId="19F8CE96" w14:textId="5BFB11F8" w:rsidR="00275988" w:rsidRPr="00DA29D3" w:rsidRDefault="00275988" w:rsidP="00ED58C1">
            <w:pPr>
              <w:pStyle w:val="TableContent"/>
              <w:jc w:val="right"/>
            </w:pPr>
            <w:r>
              <w:t>7,166</w:t>
            </w:r>
          </w:p>
        </w:tc>
        <w:tc>
          <w:tcPr>
            <w:tcW w:w="821" w:type="dxa"/>
            <w:tcBorders>
              <w:top w:val="single" w:sz="4" w:space="0" w:color="auto"/>
            </w:tcBorders>
          </w:tcPr>
          <w:p w14:paraId="2B86F109" w14:textId="6A6BD116" w:rsidR="00275988" w:rsidRDefault="00275988" w:rsidP="00ED58C1">
            <w:pPr>
              <w:pStyle w:val="TableContent"/>
              <w:jc w:val="right"/>
            </w:pPr>
            <w:r>
              <w:t>6,784</w:t>
            </w:r>
          </w:p>
        </w:tc>
      </w:tr>
    </w:tbl>
    <w:p w14:paraId="62BA185E" w14:textId="2473A98D" w:rsidR="00874030" w:rsidRDefault="00874030" w:rsidP="00ED58C1">
      <w:pPr>
        <w:pStyle w:val="TableTitle"/>
      </w:pPr>
      <w:r w:rsidRPr="00ED58C1">
        <w:lastRenderedPageBreak/>
        <w:t>Table 2.</w:t>
      </w:r>
      <w:r w:rsidR="00FF55BB">
        <w:tab/>
      </w:r>
      <w:proofErr w:type="spellStart"/>
      <w:r w:rsidR="0034265F" w:rsidRPr="00ED58C1">
        <w:t>Propertiesof</w:t>
      </w:r>
      <w:proofErr w:type="spellEnd"/>
      <w:r w:rsidR="0034265F" w:rsidRPr="00ED58C1">
        <w:t xml:space="preserve"> </w:t>
      </w:r>
      <w:r w:rsidR="00ED58C1">
        <w:t>c</w:t>
      </w:r>
      <w:r w:rsidRPr="00ED58C1">
        <w:t>oal B</w:t>
      </w:r>
    </w:p>
    <w:p w14:paraId="6C760C23" w14:textId="77777777" w:rsidR="00ED58C1" w:rsidRPr="00ED58C1" w:rsidRDefault="00ED58C1" w:rsidP="00ED58C1">
      <w:pPr>
        <w:pStyle w:val="TableTitle"/>
      </w:pPr>
    </w:p>
    <w:tbl>
      <w:tblPr>
        <w:tblW w:w="8505" w:type="dxa"/>
        <w:tblBorders>
          <w:top w:val="single" w:sz="4" w:space="0" w:color="auto"/>
          <w:bottom w:val="single" w:sz="4" w:space="0" w:color="auto"/>
        </w:tblBorders>
        <w:tblLook w:val="04A0" w:firstRow="1" w:lastRow="0" w:firstColumn="1" w:lastColumn="0" w:noHBand="0" w:noVBand="1"/>
      </w:tblPr>
      <w:tblGrid>
        <w:gridCol w:w="2127"/>
        <w:gridCol w:w="1701"/>
        <w:gridCol w:w="980"/>
        <w:gridCol w:w="903"/>
        <w:gridCol w:w="903"/>
        <w:gridCol w:w="903"/>
        <w:gridCol w:w="988"/>
      </w:tblGrid>
      <w:tr w:rsidR="00874030" w:rsidRPr="00ED58C1" w14:paraId="3A6D4C34" w14:textId="77777777" w:rsidTr="00FF55BB">
        <w:trPr>
          <w:trHeight w:val="170"/>
        </w:trPr>
        <w:tc>
          <w:tcPr>
            <w:tcW w:w="2127" w:type="dxa"/>
            <w:vMerge w:val="restart"/>
            <w:tcBorders>
              <w:top w:val="single" w:sz="4" w:space="0" w:color="auto"/>
              <w:bottom w:val="single" w:sz="4" w:space="0" w:color="auto"/>
            </w:tcBorders>
            <w:noWrap/>
            <w:vAlign w:val="center"/>
            <w:hideMark/>
          </w:tcPr>
          <w:p w14:paraId="1845B69A" w14:textId="77777777" w:rsidR="00874030" w:rsidRPr="00ED58C1" w:rsidRDefault="00874030" w:rsidP="00ED58C1">
            <w:pPr>
              <w:pStyle w:val="TableContent"/>
              <w:jc w:val="center"/>
              <w:rPr>
                <w:bCs/>
              </w:rPr>
            </w:pPr>
            <w:r w:rsidRPr="00ED58C1">
              <w:t>Parameter</w:t>
            </w:r>
          </w:p>
        </w:tc>
        <w:tc>
          <w:tcPr>
            <w:tcW w:w="1701" w:type="dxa"/>
            <w:vMerge w:val="restart"/>
            <w:tcBorders>
              <w:top w:val="single" w:sz="4" w:space="0" w:color="auto"/>
              <w:bottom w:val="single" w:sz="4" w:space="0" w:color="auto"/>
            </w:tcBorders>
            <w:noWrap/>
            <w:vAlign w:val="center"/>
            <w:hideMark/>
          </w:tcPr>
          <w:p w14:paraId="457AED5D" w14:textId="77777777" w:rsidR="00874030" w:rsidRPr="00ED58C1" w:rsidRDefault="00874030" w:rsidP="00ED58C1">
            <w:pPr>
              <w:pStyle w:val="TableContent"/>
              <w:jc w:val="center"/>
              <w:rPr>
                <w:bCs/>
              </w:rPr>
            </w:pPr>
            <w:r w:rsidRPr="00ED58C1">
              <w:t>Unit</w:t>
            </w:r>
          </w:p>
        </w:tc>
        <w:tc>
          <w:tcPr>
            <w:tcW w:w="980" w:type="dxa"/>
            <w:vMerge w:val="restart"/>
            <w:tcBorders>
              <w:top w:val="single" w:sz="4" w:space="0" w:color="auto"/>
              <w:bottom w:val="single" w:sz="4" w:space="0" w:color="auto"/>
            </w:tcBorders>
            <w:vAlign w:val="center"/>
            <w:hideMark/>
          </w:tcPr>
          <w:p w14:paraId="17F0E433" w14:textId="07476D6C" w:rsidR="00874030" w:rsidRPr="00ED58C1" w:rsidRDefault="00874030" w:rsidP="00ED58C1">
            <w:pPr>
              <w:pStyle w:val="TableContent"/>
              <w:jc w:val="center"/>
            </w:pPr>
            <w:r w:rsidRPr="00ED58C1">
              <w:t>Coal B</w:t>
            </w:r>
          </w:p>
        </w:tc>
        <w:tc>
          <w:tcPr>
            <w:tcW w:w="3697" w:type="dxa"/>
            <w:gridSpan w:val="4"/>
            <w:tcBorders>
              <w:top w:val="single" w:sz="4" w:space="0" w:color="auto"/>
              <w:bottom w:val="single" w:sz="4" w:space="0" w:color="auto"/>
            </w:tcBorders>
            <w:noWrap/>
            <w:vAlign w:val="center"/>
            <w:hideMark/>
          </w:tcPr>
          <w:p w14:paraId="0F6F4316" w14:textId="0BC75BF0" w:rsidR="00874030" w:rsidRPr="00ED58C1" w:rsidRDefault="00874030" w:rsidP="00ED58C1">
            <w:pPr>
              <w:pStyle w:val="TableContent"/>
              <w:jc w:val="center"/>
            </w:pPr>
            <w:r w:rsidRPr="00ED58C1">
              <w:t xml:space="preserve">Coal </w:t>
            </w:r>
            <w:r w:rsidR="005514E2" w:rsidRPr="00ED58C1">
              <w:t>B</w:t>
            </w:r>
            <w:r w:rsidRPr="00ED58C1">
              <w:t xml:space="preserve"> Char</w:t>
            </w:r>
          </w:p>
        </w:tc>
      </w:tr>
      <w:tr w:rsidR="00874030" w:rsidRPr="00ED58C1" w14:paraId="7BC46B96" w14:textId="77777777" w:rsidTr="00FF55BB">
        <w:trPr>
          <w:trHeight w:val="170"/>
        </w:trPr>
        <w:tc>
          <w:tcPr>
            <w:tcW w:w="2127" w:type="dxa"/>
            <w:vMerge/>
            <w:tcBorders>
              <w:top w:val="single" w:sz="4" w:space="0" w:color="auto"/>
              <w:bottom w:val="single" w:sz="4" w:space="0" w:color="auto"/>
            </w:tcBorders>
            <w:vAlign w:val="center"/>
            <w:hideMark/>
          </w:tcPr>
          <w:p w14:paraId="0E113CFD" w14:textId="77777777" w:rsidR="00874030" w:rsidRPr="00ED58C1" w:rsidRDefault="00874030" w:rsidP="00ED58C1">
            <w:pPr>
              <w:pStyle w:val="TableContent"/>
              <w:jc w:val="center"/>
              <w:rPr>
                <w:bCs/>
              </w:rPr>
            </w:pPr>
          </w:p>
        </w:tc>
        <w:tc>
          <w:tcPr>
            <w:tcW w:w="1701" w:type="dxa"/>
            <w:vMerge/>
            <w:tcBorders>
              <w:top w:val="single" w:sz="4" w:space="0" w:color="auto"/>
              <w:bottom w:val="single" w:sz="4" w:space="0" w:color="auto"/>
            </w:tcBorders>
            <w:vAlign w:val="center"/>
            <w:hideMark/>
          </w:tcPr>
          <w:p w14:paraId="465D5E12" w14:textId="77777777" w:rsidR="00874030" w:rsidRPr="00ED58C1" w:rsidRDefault="00874030" w:rsidP="00ED58C1">
            <w:pPr>
              <w:pStyle w:val="TableContent"/>
              <w:jc w:val="center"/>
              <w:rPr>
                <w:bCs/>
              </w:rPr>
            </w:pPr>
          </w:p>
        </w:tc>
        <w:tc>
          <w:tcPr>
            <w:tcW w:w="980" w:type="dxa"/>
            <w:vMerge/>
            <w:tcBorders>
              <w:top w:val="single" w:sz="4" w:space="0" w:color="auto"/>
              <w:bottom w:val="single" w:sz="4" w:space="0" w:color="auto"/>
            </w:tcBorders>
            <w:vAlign w:val="center"/>
            <w:hideMark/>
          </w:tcPr>
          <w:p w14:paraId="06EEC02B" w14:textId="77777777" w:rsidR="00874030" w:rsidRPr="00ED58C1" w:rsidRDefault="00874030" w:rsidP="00ED58C1">
            <w:pPr>
              <w:pStyle w:val="TableContent"/>
              <w:jc w:val="center"/>
            </w:pPr>
          </w:p>
        </w:tc>
        <w:tc>
          <w:tcPr>
            <w:tcW w:w="903" w:type="dxa"/>
            <w:tcBorders>
              <w:top w:val="single" w:sz="4" w:space="0" w:color="auto"/>
              <w:bottom w:val="single" w:sz="4" w:space="0" w:color="auto"/>
            </w:tcBorders>
            <w:noWrap/>
            <w:vAlign w:val="center"/>
            <w:hideMark/>
          </w:tcPr>
          <w:p w14:paraId="104EED1E" w14:textId="77777777" w:rsidR="00874030" w:rsidRPr="00ED58C1" w:rsidRDefault="00874030" w:rsidP="00ED58C1">
            <w:pPr>
              <w:pStyle w:val="TableContent"/>
              <w:jc w:val="center"/>
            </w:pPr>
            <w:r w:rsidRPr="00ED58C1">
              <w:t>500</w:t>
            </w:r>
            <w:r w:rsidRPr="00ED58C1">
              <w:rPr>
                <w:lang w:eastAsia="ja-JP"/>
              </w:rPr>
              <w:t>°C</w:t>
            </w:r>
          </w:p>
        </w:tc>
        <w:tc>
          <w:tcPr>
            <w:tcW w:w="903" w:type="dxa"/>
            <w:tcBorders>
              <w:top w:val="single" w:sz="4" w:space="0" w:color="auto"/>
              <w:bottom w:val="single" w:sz="4" w:space="0" w:color="auto"/>
            </w:tcBorders>
            <w:noWrap/>
            <w:vAlign w:val="center"/>
            <w:hideMark/>
          </w:tcPr>
          <w:p w14:paraId="3EEB53EB" w14:textId="77777777" w:rsidR="00874030" w:rsidRPr="00ED58C1" w:rsidRDefault="00874030" w:rsidP="00ED58C1">
            <w:pPr>
              <w:pStyle w:val="TableContent"/>
              <w:jc w:val="center"/>
            </w:pPr>
            <w:r w:rsidRPr="00ED58C1">
              <w:t>600</w:t>
            </w:r>
            <w:r w:rsidRPr="00ED58C1">
              <w:rPr>
                <w:lang w:eastAsia="ja-JP"/>
              </w:rPr>
              <w:t>°C</w:t>
            </w:r>
          </w:p>
        </w:tc>
        <w:tc>
          <w:tcPr>
            <w:tcW w:w="903" w:type="dxa"/>
            <w:tcBorders>
              <w:top w:val="single" w:sz="4" w:space="0" w:color="auto"/>
              <w:bottom w:val="single" w:sz="4" w:space="0" w:color="auto"/>
            </w:tcBorders>
            <w:noWrap/>
            <w:vAlign w:val="center"/>
            <w:hideMark/>
          </w:tcPr>
          <w:p w14:paraId="64FF24CD" w14:textId="77777777" w:rsidR="00874030" w:rsidRPr="00ED58C1" w:rsidRDefault="00874030" w:rsidP="00ED58C1">
            <w:pPr>
              <w:pStyle w:val="TableContent"/>
              <w:jc w:val="center"/>
            </w:pPr>
            <w:r w:rsidRPr="00ED58C1">
              <w:t>700</w:t>
            </w:r>
            <w:r w:rsidRPr="00ED58C1">
              <w:rPr>
                <w:lang w:eastAsia="ja-JP"/>
              </w:rPr>
              <w:t>°C</w:t>
            </w:r>
          </w:p>
        </w:tc>
        <w:tc>
          <w:tcPr>
            <w:tcW w:w="988" w:type="dxa"/>
            <w:tcBorders>
              <w:top w:val="single" w:sz="4" w:space="0" w:color="auto"/>
              <w:bottom w:val="single" w:sz="4" w:space="0" w:color="auto"/>
            </w:tcBorders>
            <w:vAlign w:val="center"/>
          </w:tcPr>
          <w:p w14:paraId="2B33C2C9" w14:textId="77777777" w:rsidR="00874030" w:rsidRPr="00ED58C1" w:rsidRDefault="00874030" w:rsidP="00ED58C1">
            <w:pPr>
              <w:pStyle w:val="TableContent"/>
              <w:jc w:val="center"/>
            </w:pPr>
            <w:r w:rsidRPr="00ED58C1">
              <w:t>800</w:t>
            </w:r>
            <w:r w:rsidRPr="00ED58C1">
              <w:rPr>
                <w:lang w:eastAsia="ja-JP"/>
              </w:rPr>
              <w:t>°C</w:t>
            </w:r>
          </w:p>
        </w:tc>
      </w:tr>
      <w:tr w:rsidR="00874030" w:rsidRPr="009D6EE5" w14:paraId="5B2A9EC0" w14:textId="77777777" w:rsidTr="00FF55BB">
        <w:trPr>
          <w:trHeight w:val="170"/>
        </w:trPr>
        <w:tc>
          <w:tcPr>
            <w:tcW w:w="2127" w:type="dxa"/>
            <w:tcBorders>
              <w:top w:val="single" w:sz="4" w:space="0" w:color="auto"/>
            </w:tcBorders>
            <w:noWrap/>
            <w:hideMark/>
          </w:tcPr>
          <w:p w14:paraId="39606024" w14:textId="51D8AD09" w:rsidR="00874030" w:rsidRPr="00DF216B" w:rsidRDefault="00874030" w:rsidP="00ED58C1">
            <w:pPr>
              <w:pStyle w:val="TableContent"/>
              <w:rPr>
                <w:b/>
                <w:bCs/>
              </w:rPr>
            </w:pPr>
            <w:r w:rsidRPr="009D6EE5">
              <w:t>Proximate</w:t>
            </w:r>
          </w:p>
        </w:tc>
        <w:tc>
          <w:tcPr>
            <w:tcW w:w="1701" w:type="dxa"/>
            <w:tcBorders>
              <w:top w:val="single" w:sz="4" w:space="0" w:color="auto"/>
            </w:tcBorders>
            <w:noWrap/>
            <w:hideMark/>
          </w:tcPr>
          <w:p w14:paraId="4155084A" w14:textId="77777777" w:rsidR="00874030" w:rsidRPr="009D6EE5" w:rsidRDefault="00874030" w:rsidP="00ED58C1">
            <w:pPr>
              <w:pStyle w:val="TableContent"/>
            </w:pPr>
            <w:r w:rsidRPr="009D6EE5">
              <w:t> </w:t>
            </w:r>
          </w:p>
        </w:tc>
        <w:tc>
          <w:tcPr>
            <w:tcW w:w="980" w:type="dxa"/>
            <w:tcBorders>
              <w:top w:val="single" w:sz="4" w:space="0" w:color="auto"/>
            </w:tcBorders>
            <w:noWrap/>
            <w:hideMark/>
          </w:tcPr>
          <w:p w14:paraId="762BD619" w14:textId="77777777" w:rsidR="00874030" w:rsidRPr="009D6EE5" w:rsidRDefault="00874030" w:rsidP="00ED58C1">
            <w:pPr>
              <w:pStyle w:val="TableContent"/>
            </w:pPr>
            <w:r w:rsidRPr="009D6EE5">
              <w:t> </w:t>
            </w:r>
          </w:p>
        </w:tc>
        <w:tc>
          <w:tcPr>
            <w:tcW w:w="903" w:type="dxa"/>
            <w:tcBorders>
              <w:top w:val="single" w:sz="4" w:space="0" w:color="auto"/>
            </w:tcBorders>
            <w:noWrap/>
            <w:hideMark/>
          </w:tcPr>
          <w:p w14:paraId="0AC16769" w14:textId="77777777" w:rsidR="00874030" w:rsidRPr="009D6EE5" w:rsidRDefault="00874030" w:rsidP="00ED58C1">
            <w:pPr>
              <w:pStyle w:val="TableContent"/>
            </w:pPr>
            <w:r w:rsidRPr="009D6EE5">
              <w:t> </w:t>
            </w:r>
          </w:p>
        </w:tc>
        <w:tc>
          <w:tcPr>
            <w:tcW w:w="903" w:type="dxa"/>
            <w:tcBorders>
              <w:top w:val="single" w:sz="4" w:space="0" w:color="auto"/>
            </w:tcBorders>
            <w:noWrap/>
            <w:hideMark/>
          </w:tcPr>
          <w:p w14:paraId="38A8D108" w14:textId="77777777" w:rsidR="00874030" w:rsidRPr="009D6EE5" w:rsidRDefault="00874030" w:rsidP="00ED58C1">
            <w:pPr>
              <w:pStyle w:val="TableContent"/>
            </w:pPr>
            <w:r w:rsidRPr="009D6EE5">
              <w:t> </w:t>
            </w:r>
          </w:p>
        </w:tc>
        <w:tc>
          <w:tcPr>
            <w:tcW w:w="903" w:type="dxa"/>
            <w:tcBorders>
              <w:top w:val="single" w:sz="4" w:space="0" w:color="auto"/>
            </w:tcBorders>
            <w:noWrap/>
            <w:hideMark/>
          </w:tcPr>
          <w:p w14:paraId="3F67E7FD" w14:textId="77777777" w:rsidR="00874030" w:rsidRPr="009D6EE5" w:rsidRDefault="00874030" w:rsidP="00ED58C1">
            <w:pPr>
              <w:pStyle w:val="TableContent"/>
            </w:pPr>
            <w:r w:rsidRPr="009D6EE5">
              <w:t> </w:t>
            </w:r>
          </w:p>
        </w:tc>
        <w:tc>
          <w:tcPr>
            <w:tcW w:w="988" w:type="dxa"/>
            <w:tcBorders>
              <w:top w:val="single" w:sz="4" w:space="0" w:color="auto"/>
            </w:tcBorders>
          </w:tcPr>
          <w:p w14:paraId="103BA4B6" w14:textId="77777777" w:rsidR="00874030" w:rsidRPr="009D6EE5" w:rsidRDefault="00874030" w:rsidP="00ED58C1">
            <w:pPr>
              <w:pStyle w:val="TableContent"/>
            </w:pPr>
          </w:p>
        </w:tc>
      </w:tr>
      <w:tr w:rsidR="00874030" w:rsidRPr="009D6EE5" w14:paraId="1837A0CC" w14:textId="77777777" w:rsidTr="00FF55BB">
        <w:trPr>
          <w:trHeight w:val="170"/>
        </w:trPr>
        <w:tc>
          <w:tcPr>
            <w:tcW w:w="2127" w:type="dxa"/>
            <w:noWrap/>
            <w:hideMark/>
          </w:tcPr>
          <w:p w14:paraId="0D191447" w14:textId="36B3EA66" w:rsidR="00874030" w:rsidRPr="00275988" w:rsidRDefault="00874030" w:rsidP="00ED58C1">
            <w:pPr>
              <w:pStyle w:val="TableContent"/>
              <w:rPr>
                <w:b/>
                <w:bCs/>
              </w:rPr>
            </w:pPr>
            <w:r w:rsidRPr="005514E2">
              <w:t xml:space="preserve">  </w:t>
            </w:r>
            <w:r w:rsidR="00275988">
              <w:t>Moisture</w:t>
            </w:r>
          </w:p>
        </w:tc>
        <w:tc>
          <w:tcPr>
            <w:tcW w:w="1701" w:type="dxa"/>
            <w:noWrap/>
            <w:hideMark/>
          </w:tcPr>
          <w:p w14:paraId="162BAA2F" w14:textId="77777777" w:rsidR="00874030" w:rsidRPr="009D6EE5" w:rsidRDefault="00874030" w:rsidP="00ED58C1">
            <w:pPr>
              <w:pStyle w:val="TableContent"/>
              <w:jc w:val="center"/>
            </w:pPr>
            <w:r>
              <w:t>%</w:t>
            </w:r>
            <w:proofErr w:type="spellStart"/>
            <w:r>
              <w:t>adb</w:t>
            </w:r>
            <w:proofErr w:type="spellEnd"/>
          </w:p>
        </w:tc>
        <w:tc>
          <w:tcPr>
            <w:tcW w:w="980" w:type="dxa"/>
            <w:noWrap/>
          </w:tcPr>
          <w:p w14:paraId="242C7E01" w14:textId="6D8320FB" w:rsidR="00874030" w:rsidRPr="00037131" w:rsidRDefault="00FE1993" w:rsidP="00ED58C1">
            <w:pPr>
              <w:pStyle w:val="TableContent"/>
              <w:jc w:val="right"/>
            </w:pPr>
            <w:r>
              <w:t>16.86</w:t>
            </w:r>
          </w:p>
        </w:tc>
        <w:tc>
          <w:tcPr>
            <w:tcW w:w="903" w:type="dxa"/>
            <w:noWrap/>
          </w:tcPr>
          <w:p w14:paraId="59EAB74A" w14:textId="105B8CB4" w:rsidR="00874030" w:rsidRPr="0009381E" w:rsidRDefault="00FE1993" w:rsidP="00ED58C1">
            <w:pPr>
              <w:pStyle w:val="TableContent"/>
              <w:jc w:val="right"/>
            </w:pPr>
            <w:r>
              <w:t>6.47</w:t>
            </w:r>
          </w:p>
        </w:tc>
        <w:tc>
          <w:tcPr>
            <w:tcW w:w="903" w:type="dxa"/>
            <w:noWrap/>
          </w:tcPr>
          <w:p w14:paraId="1C86844D" w14:textId="304F7020" w:rsidR="00874030" w:rsidRPr="0009381E" w:rsidRDefault="00FE1993" w:rsidP="00ED58C1">
            <w:pPr>
              <w:pStyle w:val="TableContent"/>
              <w:jc w:val="right"/>
            </w:pPr>
            <w:r>
              <w:t>6.3</w:t>
            </w:r>
          </w:p>
        </w:tc>
        <w:tc>
          <w:tcPr>
            <w:tcW w:w="903" w:type="dxa"/>
            <w:noWrap/>
          </w:tcPr>
          <w:p w14:paraId="6F8E3F75" w14:textId="5EDBBDE4" w:rsidR="00874030" w:rsidRPr="00414325" w:rsidRDefault="00FE1993" w:rsidP="00ED58C1">
            <w:pPr>
              <w:pStyle w:val="TableContent"/>
              <w:jc w:val="right"/>
            </w:pPr>
            <w:r>
              <w:t>7.59</w:t>
            </w:r>
          </w:p>
        </w:tc>
        <w:tc>
          <w:tcPr>
            <w:tcW w:w="988" w:type="dxa"/>
          </w:tcPr>
          <w:p w14:paraId="3F256244" w14:textId="5AB38315" w:rsidR="00874030" w:rsidRPr="00414325" w:rsidRDefault="00FE1993" w:rsidP="00ED58C1">
            <w:pPr>
              <w:pStyle w:val="TableContent"/>
              <w:jc w:val="right"/>
            </w:pPr>
            <w:r>
              <w:t>10.78</w:t>
            </w:r>
          </w:p>
        </w:tc>
      </w:tr>
      <w:tr w:rsidR="00275988" w:rsidRPr="009D6EE5" w14:paraId="5C1E7ACB" w14:textId="77777777" w:rsidTr="00FF55BB">
        <w:trPr>
          <w:trHeight w:val="170"/>
        </w:trPr>
        <w:tc>
          <w:tcPr>
            <w:tcW w:w="2127" w:type="dxa"/>
            <w:noWrap/>
          </w:tcPr>
          <w:p w14:paraId="055FF97F" w14:textId="22364BA1" w:rsidR="00275988" w:rsidRPr="005514E2" w:rsidRDefault="00275988" w:rsidP="00ED58C1">
            <w:pPr>
              <w:pStyle w:val="TableContent"/>
            </w:pPr>
            <w:r w:rsidRPr="005514E2">
              <w:t xml:space="preserve">  Fixed carbon</w:t>
            </w:r>
          </w:p>
        </w:tc>
        <w:tc>
          <w:tcPr>
            <w:tcW w:w="1701" w:type="dxa"/>
            <w:noWrap/>
          </w:tcPr>
          <w:p w14:paraId="4DF341B2" w14:textId="18003609" w:rsidR="00275988" w:rsidRDefault="00275988" w:rsidP="00ED58C1">
            <w:pPr>
              <w:pStyle w:val="TableContent"/>
              <w:jc w:val="center"/>
            </w:pPr>
            <w:r>
              <w:t>%</w:t>
            </w:r>
            <w:proofErr w:type="spellStart"/>
            <w:r>
              <w:t>adb</w:t>
            </w:r>
            <w:proofErr w:type="spellEnd"/>
          </w:p>
        </w:tc>
        <w:tc>
          <w:tcPr>
            <w:tcW w:w="980" w:type="dxa"/>
            <w:noWrap/>
          </w:tcPr>
          <w:p w14:paraId="082C2B39" w14:textId="5B25A2E0" w:rsidR="00275988" w:rsidRDefault="00275988" w:rsidP="00ED58C1">
            <w:pPr>
              <w:pStyle w:val="TableContent"/>
              <w:jc w:val="right"/>
            </w:pPr>
            <w:r>
              <w:t>38.74</w:t>
            </w:r>
          </w:p>
        </w:tc>
        <w:tc>
          <w:tcPr>
            <w:tcW w:w="903" w:type="dxa"/>
            <w:noWrap/>
          </w:tcPr>
          <w:p w14:paraId="2182F037" w14:textId="4DE660A3" w:rsidR="00275988" w:rsidRDefault="00275988" w:rsidP="00ED58C1">
            <w:pPr>
              <w:pStyle w:val="TableContent"/>
              <w:jc w:val="right"/>
            </w:pPr>
            <w:r>
              <w:t>65.42</w:t>
            </w:r>
          </w:p>
        </w:tc>
        <w:tc>
          <w:tcPr>
            <w:tcW w:w="903" w:type="dxa"/>
            <w:noWrap/>
          </w:tcPr>
          <w:p w14:paraId="374644E6" w14:textId="1A163152" w:rsidR="00275988" w:rsidRDefault="00275988" w:rsidP="00ED58C1">
            <w:pPr>
              <w:pStyle w:val="TableContent"/>
              <w:jc w:val="right"/>
            </w:pPr>
            <w:r>
              <w:t>74.20</w:t>
            </w:r>
          </w:p>
        </w:tc>
        <w:tc>
          <w:tcPr>
            <w:tcW w:w="903" w:type="dxa"/>
            <w:noWrap/>
          </w:tcPr>
          <w:p w14:paraId="1DCDFA02" w14:textId="606EE40A" w:rsidR="00275988" w:rsidRDefault="00275988" w:rsidP="00ED58C1">
            <w:pPr>
              <w:pStyle w:val="TableContent"/>
              <w:jc w:val="right"/>
            </w:pPr>
            <w:r>
              <w:t>79.93</w:t>
            </w:r>
          </w:p>
        </w:tc>
        <w:tc>
          <w:tcPr>
            <w:tcW w:w="988" w:type="dxa"/>
          </w:tcPr>
          <w:p w14:paraId="01FCD906" w14:textId="192F37E4" w:rsidR="00275988" w:rsidRDefault="00275988" w:rsidP="00ED58C1">
            <w:pPr>
              <w:pStyle w:val="TableContent"/>
              <w:jc w:val="right"/>
            </w:pPr>
            <w:r>
              <w:t>78.23</w:t>
            </w:r>
          </w:p>
        </w:tc>
      </w:tr>
      <w:tr w:rsidR="00275988" w:rsidRPr="009D6EE5" w14:paraId="630CA619" w14:textId="77777777" w:rsidTr="00FF55BB">
        <w:trPr>
          <w:trHeight w:val="170"/>
        </w:trPr>
        <w:tc>
          <w:tcPr>
            <w:tcW w:w="2127" w:type="dxa"/>
            <w:noWrap/>
            <w:hideMark/>
          </w:tcPr>
          <w:p w14:paraId="292080A3" w14:textId="77777777" w:rsidR="00275988" w:rsidRPr="005514E2" w:rsidRDefault="00275988" w:rsidP="00ED58C1">
            <w:pPr>
              <w:pStyle w:val="TableContent"/>
              <w:rPr>
                <w:b/>
                <w:bCs/>
              </w:rPr>
            </w:pPr>
            <w:r w:rsidRPr="005514E2">
              <w:t xml:space="preserve">  Volatile matter</w:t>
            </w:r>
          </w:p>
        </w:tc>
        <w:tc>
          <w:tcPr>
            <w:tcW w:w="1701" w:type="dxa"/>
            <w:noWrap/>
            <w:hideMark/>
          </w:tcPr>
          <w:p w14:paraId="5EF3AE7A" w14:textId="77777777" w:rsidR="00275988" w:rsidRPr="009D6EE5" w:rsidRDefault="00275988" w:rsidP="00ED58C1">
            <w:pPr>
              <w:pStyle w:val="TableContent"/>
              <w:jc w:val="center"/>
            </w:pPr>
            <w:r>
              <w:t>%</w:t>
            </w:r>
            <w:proofErr w:type="spellStart"/>
            <w:r>
              <w:t>adb</w:t>
            </w:r>
            <w:proofErr w:type="spellEnd"/>
          </w:p>
        </w:tc>
        <w:tc>
          <w:tcPr>
            <w:tcW w:w="980" w:type="dxa"/>
            <w:noWrap/>
          </w:tcPr>
          <w:p w14:paraId="4579602D" w14:textId="2E20B772" w:rsidR="00275988" w:rsidRPr="00037131" w:rsidRDefault="00275988" w:rsidP="00ED58C1">
            <w:pPr>
              <w:pStyle w:val="TableContent"/>
              <w:jc w:val="right"/>
            </w:pPr>
            <w:r>
              <w:t>42.66</w:t>
            </w:r>
          </w:p>
        </w:tc>
        <w:tc>
          <w:tcPr>
            <w:tcW w:w="903" w:type="dxa"/>
            <w:noWrap/>
          </w:tcPr>
          <w:p w14:paraId="5C6B80BA" w14:textId="3524B925" w:rsidR="00275988" w:rsidRPr="00414325" w:rsidRDefault="00275988" w:rsidP="00ED58C1">
            <w:pPr>
              <w:pStyle w:val="TableContent"/>
              <w:jc w:val="right"/>
            </w:pPr>
            <w:r>
              <w:t>24.49</w:t>
            </w:r>
          </w:p>
        </w:tc>
        <w:tc>
          <w:tcPr>
            <w:tcW w:w="903" w:type="dxa"/>
            <w:noWrap/>
          </w:tcPr>
          <w:p w14:paraId="23364C5E" w14:textId="2A65F630" w:rsidR="00275988" w:rsidRPr="00414325" w:rsidRDefault="00275988" w:rsidP="00ED58C1">
            <w:pPr>
              <w:pStyle w:val="TableContent"/>
              <w:jc w:val="right"/>
            </w:pPr>
            <w:r>
              <w:t>14.64</w:t>
            </w:r>
          </w:p>
        </w:tc>
        <w:tc>
          <w:tcPr>
            <w:tcW w:w="903" w:type="dxa"/>
            <w:noWrap/>
          </w:tcPr>
          <w:p w14:paraId="751C8218" w14:textId="1FEA2CD4" w:rsidR="00275988" w:rsidRPr="00414325" w:rsidRDefault="00275988" w:rsidP="00ED58C1">
            <w:pPr>
              <w:pStyle w:val="TableContent"/>
              <w:jc w:val="right"/>
            </w:pPr>
            <w:r>
              <w:t>8.03</w:t>
            </w:r>
          </w:p>
        </w:tc>
        <w:tc>
          <w:tcPr>
            <w:tcW w:w="988" w:type="dxa"/>
          </w:tcPr>
          <w:p w14:paraId="61B7CBA7" w14:textId="13E993B9" w:rsidR="00275988" w:rsidRPr="00414325" w:rsidRDefault="00275988" w:rsidP="00ED58C1">
            <w:pPr>
              <w:pStyle w:val="TableContent"/>
              <w:jc w:val="right"/>
            </w:pPr>
            <w:r>
              <w:t>5.84</w:t>
            </w:r>
          </w:p>
        </w:tc>
      </w:tr>
      <w:tr w:rsidR="00275988" w:rsidRPr="009D6EE5" w14:paraId="3A18064C" w14:textId="77777777" w:rsidTr="00FF55BB">
        <w:trPr>
          <w:trHeight w:val="170"/>
        </w:trPr>
        <w:tc>
          <w:tcPr>
            <w:tcW w:w="2127" w:type="dxa"/>
            <w:noWrap/>
            <w:hideMark/>
          </w:tcPr>
          <w:p w14:paraId="774D0484" w14:textId="77777777" w:rsidR="00275988" w:rsidRPr="005514E2" w:rsidRDefault="00275988" w:rsidP="00ED58C1">
            <w:pPr>
              <w:pStyle w:val="TableContent"/>
              <w:rPr>
                <w:b/>
                <w:bCs/>
              </w:rPr>
            </w:pPr>
            <w:r w:rsidRPr="005514E2">
              <w:t xml:space="preserve">  Ash</w:t>
            </w:r>
          </w:p>
        </w:tc>
        <w:tc>
          <w:tcPr>
            <w:tcW w:w="1701" w:type="dxa"/>
            <w:noWrap/>
            <w:hideMark/>
          </w:tcPr>
          <w:p w14:paraId="60B32A52" w14:textId="77777777" w:rsidR="00275988" w:rsidRPr="009D6EE5" w:rsidRDefault="00275988" w:rsidP="00ED58C1">
            <w:pPr>
              <w:pStyle w:val="TableContent"/>
              <w:jc w:val="center"/>
            </w:pPr>
            <w:r>
              <w:t>%</w:t>
            </w:r>
            <w:proofErr w:type="spellStart"/>
            <w:r>
              <w:t>adb</w:t>
            </w:r>
            <w:proofErr w:type="spellEnd"/>
          </w:p>
        </w:tc>
        <w:tc>
          <w:tcPr>
            <w:tcW w:w="980" w:type="dxa"/>
            <w:noWrap/>
          </w:tcPr>
          <w:p w14:paraId="546B7B0F" w14:textId="6ABA95F7" w:rsidR="00275988" w:rsidRPr="00037131" w:rsidRDefault="00275988" w:rsidP="00ED58C1">
            <w:pPr>
              <w:pStyle w:val="TableContent"/>
              <w:jc w:val="right"/>
            </w:pPr>
            <w:r>
              <w:t>1.74</w:t>
            </w:r>
          </w:p>
        </w:tc>
        <w:tc>
          <w:tcPr>
            <w:tcW w:w="903" w:type="dxa"/>
            <w:noWrap/>
          </w:tcPr>
          <w:p w14:paraId="3A5CBE2C" w14:textId="4DF3A5C7" w:rsidR="00275988" w:rsidRPr="009D2C4F" w:rsidRDefault="00275988" w:rsidP="00ED58C1">
            <w:pPr>
              <w:pStyle w:val="TableContent"/>
              <w:jc w:val="right"/>
            </w:pPr>
            <w:r>
              <w:t>3.62</w:t>
            </w:r>
          </w:p>
        </w:tc>
        <w:tc>
          <w:tcPr>
            <w:tcW w:w="903" w:type="dxa"/>
            <w:noWrap/>
          </w:tcPr>
          <w:p w14:paraId="12F88204" w14:textId="3ADB587A" w:rsidR="00275988" w:rsidRPr="009D2C4F" w:rsidRDefault="00275988" w:rsidP="00ED58C1">
            <w:pPr>
              <w:pStyle w:val="TableContent"/>
              <w:jc w:val="right"/>
            </w:pPr>
            <w:r>
              <w:t>4.86</w:t>
            </w:r>
          </w:p>
        </w:tc>
        <w:tc>
          <w:tcPr>
            <w:tcW w:w="903" w:type="dxa"/>
            <w:noWrap/>
          </w:tcPr>
          <w:p w14:paraId="62A099BC" w14:textId="4B66FAFD" w:rsidR="00275988" w:rsidRPr="009D2C4F" w:rsidRDefault="00275988" w:rsidP="00ED58C1">
            <w:pPr>
              <w:pStyle w:val="TableContent"/>
              <w:jc w:val="right"/>
            </w:pPr>
            <w:r>
              <w:t>4.60</w:t>
            </w:r>
          </w:p>
        </w:tc>
        <w:tc>
          <w:tcPr>
            <w:tcW w:w="988" w:type="dxa"/>
          </w:tcPr>
          <w:p w14:paraId="4636A9AC" w14:textId="19CA0F4D" w:rsidR="00275988" w:rsidRPr="009D2C4F" w:rsidRDefault="00275988" w:rsidP="00ED58C1">
            <w:pPr>
              <w:pStyle w:val="TableContent"/>
              <w:jc w:val="right"/>
            </w:pPr>
            <w:r>
              <w:t>5.15</w:t>
            </w:r>
          </w:p>
        </w:tc>
      </w:tr>
      <w:tr w:rsidR="00275988" w:rsidRPr="009D6EE5" w14:paraId="5F36D0FE" w14:textId="77777777" w:rsidTr="00FF55BB">
        <w:trPr>
          <w:trHeight w:val="170"/>
        </w:trPr>
        <w:tc>
          <w:tcPr>
            <w:tcW w:w="2127" w:type="dxa"/>
            <w:noWrap/>
            <w:hideMark/>
          </w:tcPr>
          <w:p w14:paraId="46B67125" w14:textId="77777777" w:rsidR="00275988" w:rsidRPr="009D6EE5" w:rsidRDefault="00275988" w:rsidP="00ED58C1">
            <w:pPr>
              <w:pStyle w:val="TableContent"/>
              <w:rPr>
                <w:b/>
                <w:bCs/>
              </w:rPr>
            </w:pPr>
            <w:r w:rsidRPr="009D6EE5">
              <w:t>Ultimate</w:t>
            </w:r>
          </w:p>
        </w:tc>
        <w:tc>
          <w:tcPr>
            <w:tcW w:w="1701" w:type="dxa"/>
            <w:noWrap/>
            <w:hideMark/>
          </w:tcPr>
          <w:p w14:paraId="601F629E" w14:textId="77777777" w:rsidR="00275988" w:rsidRPr="009D6EE5" w:rsidRDefault="00275988" w:rsidP="00ED58C1">
            <w:pPr>
              <w:pStyle w:val="TableContent"/>
              <w:jc w:val="center"/>
            </w:pPr>
          </w:p>
        </w:tc>
        <w:tc>
          <w:tcPr>
            <w:tcW w:w="980" w:type="dxa"/>
            <w:noWrap/>
          </w:tcPr>
          <w:p w14:paraId="2F1740DC" w14:textId="77777777" w:rsidR="00275988" w:rsidRPr="009D6EE5" w:rsidRDefault="00275988" w:rsidP="00ED58C1">
            <w:pPr>
              <w:pStyle w:val="TableContent"/>
              <w:jc w:val="right"/>
            </w:pPr>
          </w:p>
        </w:tc>
        <w:tc>
          <w:tcPr>
            <w:tcW w:w="903" w:type="dxa"/>
            <w:noWrap/>
          </w:tcPr>
          <w:p w14:paraId="2A1FFC42" w14:textId="77777777" w:rsidR="00275988" w:rsidRPr="009D6EE5" w:rsidRDefault="00275988" w:rsidP="00ED58C1">
            <w:pPr>
              <w:pStyle w:val="TableContent"/>
              <w:jc w:val="right"/>
            </w:pPr>
          </w:p>
        </w:tc>
        <w:tc>
          <w:tcPr>
            <w:tcW w:w="903" w:type="dxa"/>
            <w:noWrap/>
          </w:tcPr>
          <w:p w14:paraId="281D3CA1" w14:textId="77777777" w:rsidR="00275988" w:rsidRPr="009D6EE5" w:rsidRDefault="00275988" w:rsidP="00ED58C1">
            <w:pPr>
              <w:pStyle w:val="TableContent"/>
              <w:jc w:val="right"/>
            </w:pPr>
          </w:p>
        </w:tc>
        <w:tc>
          <w:tcPr>
            <w:tcW w:w="903" w:type="dxa"/>
            <w:noWrap/>
          </w:tcPr>
          <w:p w14:paraId="04ABBF5D" w14:textId="77777777" w:rsidR="00275988" w:rsidRPr="009D6EE5" w:rsidRDefault="00275988" w:rsidP="00ED58C1">
            <w:pPr>
              <w:pStyle w:val="TableContent"/>
              <w:jc w:val="right"/>
            </w:pPr>
          </w:p>
        </w:tc>
        <w:tc>
          <w:tcPr>
            <w:tcW w:w="988" w:type="dxa"/>
          </w:tcPr>
          <w:p w14:paraId="4BD90237" w14:textId="77777777" w:rsidR="00275988" w:rsidRPr="009D6EE5" w:rsidRDefault="00275988" w:rsidP="00ED58C1">
            <w:pPr>
              <w:pStyle w:val="TableContent"/>
              <w:jc w:val="right"/>
            </w:pPr>
          </w:p>
        </w:tc>
      </w:tr>
      <w:tr w:rsidR="00275988" w:rsidRPr="009D6EE5" w14:paraId="6B32E116" w14:textId="77777777" w:rsidTr="00FF55BB">
        <w:trPr>
          <w:trHeight w:val="170"/>
        </w:trPr>
        <w:tc>
          <w:tcPr>
            <w:tcW w:w="2127" w:type="dxa"/>
            <w:noWrap/>
            <w:hideMark/>
          </w:tcPr>
          <w:p w14:paraId="54FC9862" w14:textId="77777777" w:rsidR="00275988" w:rsidRPr="005514E2" w:rsidRDefault="00275988" w:rsidP="00ED58C1">
            <w:pPr>
              <w:pStyle w:val="TableContent"/>
              <w:rPr>
                <w:b/>
                <w:bCs/>
              </w:rPr>
            </w:pPr>
            <w:r w:rsidRPr="005514E2">
              <w:t xml:space="preserve">  Carbon</w:t>
            </w:r>
          </w:p>
        </w:tc>
        <w:tc>
          <w:tcPr>
            <w:tcW w:w="1701" w:type="dxa"/>
            <w:noWrap/>
            <w:hideMark/>
          </w:tcPr>
          <w:p w14:paraId="796EC7F5" w14:textId="77777777" w:rsidR="00275988" w:rsidRPr="009D6EE5" w:rsidRDefault="00275988" w:rsidP="00ED58C1">
            <w:pPr>
              <w:pStyle w:val="TableContent"/>
              <w:jc w:val="center"/>
            </w:pPr>
            <w:r>
              <w:t>%</w:t>
            </w:r>
            <w:proofErr w:type="spellStart"/>
            <w:r>
              <w:t>adb</w:t>
            </w:r>
            <w:proofErr w:type="spellEnd"/>
          </w:p>
        </w:tc>
        <w:tc>
          <w:tcPr>
            <w:tcW w:w="980" w:type="dxa"/>
            <w:noWrap/>
          </w:tcPr>
          <w:p w14:paraId="29F9F279" w14:textId="6CA88BBA" w:rsidR="00275988" w:rsidRPr="00037131" w:rsidRDefault="00275988" w:rsidP="00ED58C1">
            <w:pPr>
              <w:pStyle w:val="TableContent"/>
              <w:jc w:val="right"/>
            </w:pPr>
            <w:r>
              <w:t>57.78</w:t>
            </w:r>
          </w:p>
        </w:tc>
        <w:tc>
          <w:tcPr>
            <w:tcW w:w="903" w:type="dxa"/>
            <w:noWrap/>
          </w:tcPr>
          <w:p w14:paraId="74D7D828" w14:textId="3316AF0B" w:rsidR="00275988" w:rsidRPr="005C134F" w:rsidRDefault="00275988" w:rsidP="00ED58C1">
            <w:pPr>
              <w:pStyle w:val="TableContent"/>
              <w:jc w:val="right"/>
            </w:pPr>
            <w:r>
              <w:t>71.74</w:t>
            </w:r>
          </w:p>
        </w:tc>
        <w:tc>
          <w:tcPr>
            <w:tcW w:w="903" w:type="dxa"/>
            <w:noWrap/>
          </w:tcPr>
          <w:p w14:paraId="178C6C52" w14:textId="1AD1D46C" w:rsidR="00275988" w:rsidRPr="005C134F" w:rsidRDefault="00275988" w:rsidP="00ED58C1">
            <w:pPr>
              <w:pStyle w:val="TableContent"/>
              <w:jc w:val="right"/>
            </w:pPr>
            <w:r>
              <w:t>77.96</w:t>
            </w:r>
          </w:p>
        </w:tc>
        <w:tc>
          <w:tcPr>
            <w:tcW w:w="903" w:type="dxa"/>
            <w:noWrap/>
          </w:tcPr>
          <w:p w14:paraId="01244DF3" w14:textId="2493721C" w:rsidR="00275988" w:rsidRPr="005C134F" w:rsidRDefault="00275988" w:rsidP="00ED58C1">
            <w:pPr>
              <w:pStyle w:val="TableContent"/>
              <w:jc w:val="right"/>
            </w:pPr>
            <w:r>
              <w:t>80.63</w:t>
            </w:r>
          </w:p>
        </w:tc>
        <w:tc>
          <w:tcPr>
            <w:tcW w:w="988" w:type="dxa"/>
          </w:tcPr>
          <w:p w14:paraId="68CF13AE" w14:textId="7CAC0CC1" w:rsidR="00275988" w:rsidRPr="005C134F" w:rsidRDefault="00275988" w:rsidP="00ED58C1">
            <w:pPr>
              <w:pStyle w:val="TableContent"/>
              <w:jc w:val="right"/>
            </w:pPr>
            <w:r>
              <w:t>78.97</w:t>
            </w:r>
          </w:p>
        </w:tc>
      </w:tr>
      <w:tr w:rsidR="00275988" w:rsidRPr="009D6EE5" w14:paraId="6E0962CF" w14:textId="77777777" w:rsidTr="00FF55BB">
        <w:trPr>
          <w:trHeight w:val="170"/>
        </w:trPr>
        <w:tc>
          <w:tcPr>
            <w:tcW w:w="2127" w:type="dxa"/>
            <w:noWrap/>
            <w:hideMark/>
          </w:tcPr>
          <w:p w14:paraId="19F1FD5C" w14:textId="77777777" w:rsidR="00275988" w:rsidRPr="005514E2" w:rsidRDefault="00275988" w:rsidP="00ED58C1">
            <w:pPr>
              <w:pStyle w:val="TableContent"/>
              <w:rPr>
                <w:b/>
                <w:bCs/>
              </w:rPr>
            </w:pPr>
            <w:r w:rsidRPr="005514E2">
              <w:t xml:space="preserve">  Hydrogen</w:t>
            </w:r>
          </w:p>
        </w:tc>
        <w:tc>
          <w:tcPr>
            <w:tcW w:w="1701" w:type="dxa"/>
            <w:noWrap/>
            <w:hideMark/>
          </w:tcPr>
          <w:p w14:paraId="73916957" w14:textId="77777777" w:rsidR="00275988" w:rsidRPr="009D6EE5" w:rsidRDefault="00275988" w:rsidP="00ED58C1">
            <w:pPr>
              <w:pStyle w:val="TableContent"/>
              <w:jc w:val="center"/>
            </w:pPr>
            <w:r>
              <w:t>%</w:t>
            </w:r>
            <w:proofErr w:type="spellStart"/>
            <w:r>
              <w:t>adb</w:t>
            </w:r>
            <w:proofErr w:type="spellEnd"/>
          </w:p>
        </w:tc>
        <w:tc>
          <w:tcPr>
            <w:tcW w:w="980" w:type="dxa"/>
            <w:noWrap/>
          </w:tcPr>
          <w:p w14:paraId="2C833447" w14:textId="05398AD3" w:rsidR="00275988" w:rsidRPr="00037131" w:rsidRDefault="00275988" w:rsidP="00ED58C1">
            <w:pPr>
              <w:pStyle w:val="TableContent"/>
              <w:jc w:val="right"/>
            </w:pPr>
            <w:r>
              <w:t>6.05</w:t>
            </w:r>
          </w:p>
        </w:tc>
        <w:tc>
          <w:tcPr>
            <w:tcW w:w="903" w:type="dxa"/>
            <w:noWrap/>
          </w:tcPr>
          <w:p w14:paraId="4079636E" w14:textId="79DC621F" w:rsidR="00275988" w:rsidRPr="00510A46" w:rsidRDefault="00275988" w:rsidP="00ED58C1">
            <w:pPr>
              <w:pStyle w:val="TableContent"/>
              <w:jc w:val="right"/>
            </w:pPr>
            <w:r>
              <w:t>3.91</w:t>
            </w:r>
          </w:p>
        </w:tc>
        <w:tc>
          <w:tcPr>
            <w:tcW w:w="903" w:type="dxa"/>
            <w:noWrap/>
          </w:tcPr>
          <w:p w14:paraId="0BE8526C" w14:textId="39CE4F76" w:rsidR="00275988" w:rsidRPr="00510A46" w:rsidRDefault="00275988" w:rsidP="00ED58C1">
            <w:pPr>
              <w:pStyle w:val="TableContent"/>
              <w:jc w:val="right"/>
            </w:pPr>
            <w:r>
              <w:t>3.21</w:t>
            </w:r>
          </w:p>
        </w:tc>
        <w:tc>
          <w:tcPr>
            <w:tcW w:w="903" w:type="dxa"/>
            <w:noWrap/>
          </w:tcPr>
          <w:p w14:paraId="6AAEBC71" w14:textId="06E307A2" w:rsidR="00275988" w:rsidRPr="00510A46" w:rsidRDefault="00275988" w:rsidP="00ED58C1">
            <w:pPr>
              <w:pStyle w:val="TableContent"/>
              <w:jc w:val="right"/>
            </w:pPr>
            <w:r>
              <w:t>2.65</w:t>
            </w:r>
          </w:p>
        </w:tc>
        <w:tc>
          <w:tcPr>
            <w:tcW w:w="988" w:type="dxa"/>
          </w:tcPr>
          <w:p w14:paraId="4C8038A1" w14:textId="2FBCF3CA" w:rsidR="00275988" w:rsidRPr="00510A46" w:rsidRDefault="00275988" w:rsidP="00ED58C1">
            <w:pPr>
              <w:pStyle w:val="TableContent"/>
              <w:jc w:val="right"/>
            </w:pPr>
            <w:r>
              <w:t>2.28</w:t>
            </w:r>
          </w:p>
        </w:tc>
      </w:tr>
      <w:tr w:rsidR="00275988" w:rsidRPr="009D6EE5" w14:paraId="7F98815B" w14:textId="77777777" w:rsidTr="00FF55BB">
        <w:trPr>
          <w:trHeight w:val="170"/>
        </w:trPr>
        <w:tc>
          <w:tcPr>
            <w:tcW w:w="2127" w:type="dxa"/>
            <w:noWrap/>
            <w:hideMark/>
          </w:tcPr>
          <w:p w14:paraId="792095BC" w14:textId="77777777" w:rsidR="00275988" w:rsidRPr="005514E2" w:rsidRDefault="00275988" w:rsidP="00ED58C1">
            <w:pPr>
              <w:pStyle w:val="TableContent"/>
              <w:rPr>
                <w:b/>
                <w:bCs/>
              </w:rPr>
            </w:pPr>
            <w:r w:rsidRPr="005514E2">
              <w:t xml:space="preserve">  Nitrogen</w:t>
            </w:r>
          </w:p>
        </w:tc>
        <w:tc>
          <w:tcPr>
            <w:tcW w:w="1701" w:type="dxa"/>
            <w:noWrap/>
            <w:hideMark/>
          </w:tcPr>
          <w:p w14:paraId="721D34EC" w14:textId="77777777" w:rsidR="00275988" w:rsidRPr="009D6EE5" w:rsidRDefault="00275988" w:rsidP="00ED58C1">
            <w:pPr>
              <w:pStyle w:val="TableContent"/>
              <w:jc w:val="center"/>
            </w:pPr>
            <w:r>
              <w:t>%</w:t>
            </w:r>
            <w:proofErr w:type="spellStart"/>
            <w:r>
              <w:t>adb</w:t>
            </w:r>
            <w:proofErr w:type="spellEnd"/>
          </w:p>
        </w:tc>
        <w:tc>
          <w:tcPr>
            <w:tcW w:w="980" w:type="dxa"/>
            <w:noWrap/>
          </w:tcPr>
          <w:p w14:paraId="658423AA" w14:textId="16B1DCB0" w:rsidR="00275988" w:rsidRPr="00037131" w:rsidRDefault="00275988" w:rsidP="00ED58C1">
            <w:pPr>
              <w:pStyle w:val="TableContent"/>
              <w:jc w:val="right"/>
            </w:pPr>
            <w:r>
              <w:t>0.90</w:t>
            </w:r>
          </w:p>
        </w:tc>
        <w:tc>
          <w:tcPr>
            <w:tcW w:w="903" w:type="dxa"/>
            <w:noWrap/>
          </w:tcPr>
          <w:p w14:paraId="19591A2F" w14:textId="6AC2174E" w:rsidR="00275988" w:rsidRPr="00ED4AD7" w:rsidRDefault="00275988" w:rsidP="00ED58C1">
            <w:pPr>
              <w:pStyle w:val="TableContent"/>
              <w:jc w:val="right"/>
            </w:pPr>
            <w:r>
              <w:t>1.43</w:t>
            </w:r>
          </w:p>
        </w:tc>
        <w:tc>
          <w:tcPr>
            <w:tcW w:w="903" w:type="dxa"/>
            <w:noWrap/>
          </w:tcPr>
          <w:p w14:paraId="0A4E465C" w14:textId="15B3336B" w:rsidR="00275988" w:rsidRPr="00ED4AD7" w:rsidRDefault="00275988" w:rsidP="00ED58C1">
            <w:pPr>
              <w:pStyle w:val="TableContent"/>
              <w:jc w:val="right"/>
            </w:pPr>
            <w:r>
              <w:t>1.46</w:t>
            </w:r>
          </w:p>
        </w:tc>
        <w:tc>
          <w:tcPr>
            <w:tcW w:w="903" w:type="dxa"/>
            <w:noWrap/>
          </w:tcPr>
          <w:p w14:paraId="77EDDD42" w14:textId="5C722B0C" w:rsidR="00275988" w:rsidRPr="00ED4AD7" w:rsidRDefault="00275988" w:rsidP="00ED58C1">
            <w:pPr>
              <w:pStyle w:val="TableContent"/>
              <w:jc w:val="right"/>
            </w:pPr>
            <w:r>
              <w:t>1.14</w:t>
            </w:r>
          </w:p>
        </w:tc>
        <w:tc>
          <w:tcPr>
            <w:tcW w:w="988" w:type="dxa"/>
          </w:tcPr>
          <w:p w14:paraId="7B4E22C3" w14:textId="4981D218" w:rsidR="00275988" w:rsidRPr="00ED4AD7" w:rsidRDefault="00275988" w:rsidP="00ED58C1">
            <w:pPr>
              <w:pStyle w:val="TableContent"/>
              <w:jc w:val="right"/>
            </w:pPr>
            <w:r>
              <w:t>0.86</w:t>
            </w:r>
          </w:p>
        </w:tc>
      </w:tr>
      <w:tr w:rsidR="00275988" w:rsidRPr="009D6EE5" w14:paraId="17329DCE" w14:textId="77777777" w:rsidTr="00FF55BB">
        <w:trPr>
          <w:trHeight w:val="170"/>
        </w:trPr>
        <w:tc>
          <w:tcPr>
            <w:tcW w:w="2127" w:type="dxa"/>
            <w:noWrap/>
            <w:hideMark/>
          </w:tcPr>
          <w:p w14:paraId="18A77D44" w14:textId="77777777" w:rsidR="00275988" w:rsidRPr="005514E2" w:rsidRDefault="00275988" w:rsidP="00ED58C1">
            <w:pPr>
              <w:pStyle w:val="TableContent"/>
              <w:rPr>
                <w:b/>
                <w:bCs/>
              </w:rPr>
            </w:pPr>
            <w:r w:rsidRPr="005514E2">
              <w:t xml:space="preserve">  Sulphur</w:t>
            </w:r>
          </w:p>
        </w:tc>
        <w:tc>
          <w:tcPr>
            <w:tcW w:w="1701" w:type="dxa"/>
            <w:noWrap/>
            <w:hideMark/>
          </w:tcPr>
          <w:p w14:paraId="6C7D6142" w14:textId="77777777" w:rsidR="00275988" w:rsidRPr="009D6EE5" w:rsidRDefault="00275988" w:rsidP="00ED58C1">
            <w:pPr>
              <w:pStyle w:val="TableContent"/>
              <w:jc w:val="center"/>
            </w:pPr>
            <w:r>
              <w:t>%</w:t>
            </w:r>
            <w:proofErr w:type="spellStart"/>
            <w:r>
              <w:t>adb</w:t>
            </w:r>
            <w:proofErr w:type="spellEnd"/>
          </w:p>
        </w:tc>
        <w:tc>
          <w:tcPr>
            <w:tcW w:w="980" w:type="dxa"/>
            <w:noWrap/>
          </w:tcPr>
          <w:p w14:paraId="21090CBA" w14:textId="0E082DC0" w:rsidR="00275988" w:rsidRPr="00037131" w:rsidRDefault="00275988" w:rsidP="00ED58C1">
            <w:pPr>
              <w:pStyle w:val="TableContent"/>
              <w:jc w:val="right"/>
            </w:pPr>
            <w:r>
              <w:t>0.18</w:t>
            </w:r>
          </w:p>
        </w:tc>
        <w:tc>
          <w:tcPr>
            <w:tcW w:w="903" w:type="dxa"/>
            <w:noWrap/>
          </w:tcPr>
          <w:p w14:paraId="7339F6D6" w14:textId="056C5993" w:rsidR="00275988" w:rsidRPr="00874030" w:rsidRDefault="00275988" w:rsidP="00ED58C1">
            <w:pPr>
              <w:pStyle w:val="TableContent"/>
              <w:jc w:val="right"/>
            </w:pPr>
            <w:r>
              <w:t>0.20</w:t>
            </w:r>
          </w:p>
        </w:tc>
        <w:tc>
          <w:tcPr>
            <w:tcW w:w="903" w:type="dxa"/>
            <w:noWrap/>
          </w:tcPr>
          <w:p w14:paraId="11BF6396" w14:textId="1A17109A" w:rsidR="00275988" w:rsidRPr="00874030" w:rsidRDefault="00275988" w:rsidP="00ED58C1">
            <w:pPr>
              <w:pStyle w:val="TableContent"/>
              <w:jc w:val="right"/>
            </w:pPr>
            <w:r>
              <w:t>0.24</w:t>
            </w:r>
          </w:p>
        </w:tc>
        <w:tc>
          <w:tcPr>
            <w:tcW w:w="903" w:type="dxa"/>
            <w:noWrap/>
          </w:tcPr>
          <w:p w14:paraId="765C1E12" w14:textId="59219FA3" w:rsidR="00275988" w:rsidRPr="00874030" w:rsidRDefault="00275988" w:rsidP="00ED58C1">
            <w:pPr>
              <w:pStyle w:val="TableContent"/>
              <w:jc w:val="right"/>
            </w:pPr>
            <w:r>
              <w:t>0.26</w:t>
            </w:r>
          </w:p>
        </w:tc>
        <w:tc>
          <w:tcPr>
            <w:tcW w:w="988" w:type="dxa"/>
          </w:tcPr>
          <w:p w14:paraId="46FA9BAA" w14:textId="4F59336D" w:rsidR="00275988" w:rsidRPr="00874030" w:rsidRDefault="00275988" w:rsidP="00ED58C1">
            <w:pPr>
              <w:pStyle w:val="TableContent"/>
              <w:jc w:val="right"/>
            </w:pPr>
            <w:r>
              <w:t>0.28</w:t>
            </w:r>
          </w:p>
        </w:tc>
      </w:tr>
      <w:tr w:rsidR="00275988" w:rsidRPr="009D6EE5" w14:paraId="350BAB96" w14:textId="77777777" w:rsidTr="00FF55BB">
        <w:trPr>
          <w:trHeight w:val="170"/>
        </w:trPr>
        <w:tc>
          <w:tcPr>
            <w:tcW w:w="2127" w:type="dxa"/>
            <w:noWrap/>
            <w:hideMark/>
          </w:tcPr>
          <w:p w14:paraId="0BDCA189" w14:textId="77777777" w:rsidR="00275988" w:rsidRPr="005514E2" w:rsidRDefault="00275988" w:rsidP="00ED58C1">
            <w:pPr>
              <w:pStyle w:val="TableContent"/>
              <w:rPr>
                <w:b/>
                <w:bCs/>
              </w:rPr>
            </w:pPr>
            <w:r w:rsidRPr="005514E2">
              <w:t xml:space="preserve">  Oxygen</w:t>
            </w:r>
          </w:p>
        </w:tc>
        <w:tc>
          <w:tcPr>
            <w:tcW w:w="1701" w:type="dxa"/>
            <w:noWrap/>
            <w:hideMark/>
          </w:tcPr>
          <w:p w14:paraId="2A2DB300" w14:textId="77777777" w:rsidR="00275988" w:rsidRPr="009D6EE5" w:rsidRDefault="00275988" w:rsidP="00ED58C1">
            <w:pPr>
              <w:pStyle w:val="TableContent"/>
              <w:jc w:val="center"/>
            </w:pPr>
            <w:r>
              <w:t>%</w:t>
            </w:r>
            <w:proofErr w:type="spellStart"/>
            <w:r>
              <w:t>adb</w:t>
            </w:r>
            <w:proofErr w:type="spellEnd"/>
          </w:p>
        </w:tc>
        <w:tc>
          <w:tcPr>
            <w:tcW w:w="980" w:type="dxa"/>
            <w:noWrap/>
          </w:tcPr>
          <w:p w14:paraId="3638E39D" w14:textId="4F47873D" w:rsidR="00275988" w:rsidRPr="00037131" w:rsidRDefault="00275988" w:rsidP="00ED58C1">
            <w:pPr>
              <w:pStyle w:val="TableContent"/>
              <w:jc w:val="right"/>
            </w:pPr>
            <w:r>
              <w:t>33.35</w:t>
            </w:r>
          </w:p>
        </w:tc>
        <w:tc>
          <w:tcPr>
            <w:tcW w:w="903" w:type="dxa"/>
            <w:noWrap/>
          </w:tcPr>
          <w:p w14:paraId="3F80C4FE" w14:textId="322C16F7" w:rsidR="00275988" w:rsidRPr="00874030" w:rsidRDefault="00275988" w:rsidP="00ED58C1">
            <w:pPr>
              <w:pStyle w:val="TableContent"/>
              <w:jc w:val="right"/>
            </w:pPr>
            <w:r>
              <w:t>19.1</w:t>
            </w:r>
          </w:p>
        </w:tc>
        <w:tc>
          <w:tcPr>
            <w:tcW w:w="903" w:type="dxa"/>
            <w:noWrap/>
          </w:tcPr>
          <w:p w14:paraId="4A121EA3" w14:textId="4D22B31D" w:rsidR="00275988" w:rsidRPr="00874030" w:rsidRDefault="00275988" w:rsidP="00ED58C1">
            <w:pPr>
              <w:pStyle w:val="TableContent"/>
              <w:jc w:val="right"/>
            </w:pPr>
            <w:r>
              <w:t>12.27</w:t>
            </w:r>
          </w:p>
        </w:tc>
        <w:tc>
          <w:tcPr>
            <w:tcW w:w="903" w:type="dxa"/>
            <w:noWrap/>
          </w:tcPr>
          <w:p w14:paraId="342E2F4E" w14:textId="601D790C" w:rsidR="00275988" w:rsidRPr="00874030" w:rsidRDefault="00275988" w:rsidP="00ED58C1">
            <w:pPr>
              <w:pStyle w:val="TableContent"/>
              <w:jc w:val="right"/>
            </w:pPr>
            <w:r>
              <w:t>10.72</w:t>
            </w:r>
          </w:p>
        </w:tc>
        <w:tc>
          <w:tcPr>
            <w:tcW w:w="988" w:type="dxa"/>
          </w:tcPr>
          <w:p w14:paraId="6AD97FE0" w14:textId="3A30167F" w:rsidR="00275988" w:rsidRPr="00874030" w:rsidRDefault="00275988" w:rsidP="00ED58C1">
            <w:pPr>
              <w:pStyle w:val="TableContent"/>
              <w:jc w:val="right"/>
            </w:pPr>
            <w:r>
              <w:t>12.46</w:t>
            </w:r>
          </w:p>
        </w:tc>
      </w:tr>
      <w:tr w:rsidR="00275988" w:rsidRPr="009D6EE5" w14:paraId="3DC1EA6E" w14:textId="77777777" w:rsidTr="00FF55BB">
        <w:trPr>
          <w:trHeight w:val="170"/>
        </w:trPr>
        <w:tc>
          <w:tcPr>
            <w:tcW w:w="2127" w:type="dxa"/>
            <w:noWrap/>
            <w:hideMark/>
          </w:tcPr>
          <w:p w14:paraId="1BC27309" w14:textId="77777777" w:rsidR="00275988" w:rsidRPr="00D83189" w:rsidRDefault="00275988" w:rsidP="00ED58C1">
            <w:pPr>
              <w:pStyle w:val="TableContent"/>
              <w:rPr>
                <w:b/>
              </w:rPr>
            </w:pPr>
            <w:r w:rsidRPr="00D83189">
              <w:t xml:space="preserve">Calorific </w:t>
            </w:r>
            <w:r>
              <w:t>V</w:t>
            </w:r>
            <w:r w:rsidRPr="00D83189">
              <w:t>alue</w:t>
            </w:r>
          </w:p>
        </w:tc>
        <w:tc>
          <w:tcPr>
            <w:tcW w:w="1701" w:type="dxa"/>
            <w:noWrap/>
            <w:hideMark/>
          </w:tcPr>
          <w:p w14:paraId="0DC3D612" w14:textId="77777777" w:rsidR="00275988" w:rsidRPr="0009381E" w:rsidRDefault="00275988" w:rsidP="00ED58C1">
            <w:pPr>
              <w:pStyle w:val="TableContent"/>
              <w:jc w:val="center"/>
            </w:pPr>
            <w:r>
              <w:t>kcal</w:t>
            </w:r>
            <w:r w:rsidRPr="009D6EE5">
              <w:t>/kg</w:t>
            </w:r>
            <w:r>
              <w:t>, %</w:t>
            </w:r>
            <w:proofErr w:type="spellStart"/>
            <w:r>
              <w:t>adb</w:t>
            </w:r>
            <w:proofErr w:type="spellEnd"/>
          </w:p>
        </w:tc>
        <w:tc>
          <w:tcPr>
            <w:tcW w:w="980" w:type="dxa"/>
            <w:noWrap/>
          </w:tcPr>
          <w:p w14:paraId="2CF8340D" w14:textId="22A1136F" w:rsidR="00275988" w:rsidRPr="00C57E97" w:rsidRDefault="00275988" w:rsidP="00ED58C1">
            <w:pPr>
              <w:pStyle w:val="TableContent"/>
              <w:jc w:val="right"/>
            </w:pPr>
            <w:r>
              <w:t>5,498</w:t>
            </w:r>
          </w:p>
        </w:tc>
        <w:tc>
          <w:tcPr>
            <w:tcW w:w="903" w:type="dxa"/>
            <w:noWrap/>
          </w:tcPr>
          <w:p w14:paraId="48F1A373" w14:textId="45C25288" w:rsidR="00275988" w:rsidRPr="00C57E97" w:rsidRDefault="00275988" w:rsidP="00ED58C1">
            <w:pPr>
              <w:pStyle w:val="TableContent"/>
              <w:jc w:val="right"/>
            </w:pPr>
            <w:r>
              <w:t>6,591</w:t>
            </w:r>
          </w:p>
        </w:tc>
        <w:tc>
          <w:tcPr>
            <w:tcW w:w="903" w:type="dxa"/>
            <w:noWrap/>
          </w:tcPr>
          <w:p w14:paraId="79184C9D" w14:textId="201DF11F" w:rsidR="00275988" w:rsidRPr="00C57E97" w:rsidRDefault="00275988" w:rsidP="00ED58C1">
            <w:pPr>
              <w:pStyle w:val="TableContent"/>
              <w:jc w:val="right"/>
            </w:pPr>
            <w:r>
              <w:t>7,098</w:t>
            </w:r>
          </w:p>
        </w:tc>
        <w:tc>
          <w:tcPr>
            <w:tcW w:w="903" w:type="dxa"/>
            <w:noWrap/>
          </w:tcPr>
          <w:p w14:paraId="34401B12" w14:textId="3761943E" w:rsidR="00275988" w:rsidRPr="00DA29D3" w:rsidRDefault="00275988" w:rsidP="00ED58C1">
            <w:pPr>
              <w:pStyle w:val="TableContent"/>
              <w:jc w:val="right"/>
            </w:pPr>
            <w:r>
              <w:t>7,116</w:t>
            </w:r>
          </w:p>
        </w:tc>
        <w:tc>
          <w:tcPr>
            <w:tcW w:w="988" w:type="dxa"/>
          </w:tcPr>
          <w:p w14:paraId="1A5B5B15" w14:textId="6C6723D8" w:rsidR="00275988" w:rsidRDefault="00275988" w:rsidP="00ED58C1">
            <w:pPr>
              <w:pStyle w:val="TableContent"/>
              <w:jc w:val="right"/>
            </w:pPr>
            <w:r>
              <w:t>6,738</w:t>
            </w:r>
          </w:p>
        </w:tc>
      </w:tr>
    </w:tbl>
    <w:p w14:paraId="534B4178" w14:textId="77777777" w:rsidR="00874030" w:rsidRPr="009D6EE5" w:rsidRDefault="00874030" w:rsidP="00ED58C1">
      <w:pPr>
        <w:pStyle w:val="BodiText"/>
      </w:pPr>
    </w:p>
    <w:p w14:paraId="233C7DFD" w14:textId="77777777" w:rsidR="00874030" w:rsidRPr="009D6EE5" w:rsidRDefault="00874030" w:rsidP="00ED58C1">
      <w:pPr>
        <w:pStyle w:val="BodiText"/>
      </w:pPr>
    </w:p>
    <w:p w14:paraId="6A3713EA" w14:textId="77777777" w:rsidR="00FF55BB" w:rsidRDefault="00FF55BB" w:rsidP="00ED58C1">
      <w:pPr>
        <w:pStyle w:val="BodiText"/>
        <w:sectPr w:rsidR="00FF55BB" w:rsidSect="000C7C0D">
          <w:type w:val="continuous"/>
          <w:pgSz w:w="11906" w:h="16838" w:code="9"/>
          <w:pgMar w:top="1701" w:right="1701" w:bottom="1701" w:left="1701" w:header="0" w:footer="0" w:gutter="0"/>
          <w:cols w:space="708"/>
          <w:docGrid w:linePitch="360"/>
        </w:sectPr>
      </w:pPr>
    </w:p>
    <w:p w14:paraId="06849323" w14:textId="0EB9EB2C" w:rsidR="00C914CD" w:rsidRPr="009D6EE5" w:rsidRDefault="005E0062" w:rsidP="00ED58C1">
      <w:pPr>
        <w:pStyle w:val="BodiText"/>
      </w:pPr>
      <w:r w:rsidRPr="005E0062">
        <w:lastRenderedPageBreak/>
        <w:t>An increase</w:t>
      </w:r>
      <w:r w:rsidR="0034265F">
        <w:t>d</w:t>
      </w:r>
      <w:r w:rsidRPr="005E0062">
        <w:t xml:space="preserve"> in pyrolysis temperature between </w:t>
      </w:r>
      <w:r w:rsidR="00790FBD">
        <w:t>500</w:t>
      </w:r>
      <w:r w:rsidRPr="005E0062">
        <w:t>-</w:t>
      </w:r>
      <w:r w:rsidR="00790FBD">
        <w:t>700</w:t>
      </w:r>
      <w:r w:rsidRPr="005E0062">
        <w:t xml:space="preserve"> </w:t>
      </w:r>
      <w:r w:rsidR="00790FBD">
        <w:t>º</w:t>
      </w:r>
      <w:r w:rsidRPr="005E0062">
        <w:t>C increase</w:t>
      </w:r>
      <w:r w:rsidR="0034265F">
        <w:t>d</w:t>
      </w:r>
      <w:r w:rsidRPr="005E0062">
        <w:t xml:space="preserve"> the calorific value of char sharply</w:t>
      </w:r>
      <w:r w:rsidR="00790FBD">
        <w:t xml:space="preserve"> </w:t>
      </w:r>
      <w:r w:rsidRPr="005E0062">
        <w:t xml:space="preserve">(Table </w:t>
      </w:r>
      <w:r w:rsidR="00FF55BB">
        <w:t>3</w:t>
      </w:r>
      <w:r w:rsidR="00790FBD">
        <w:t xml:space="preserve"> and </w:t>
      </w:r>
      <w:r w:rsidR="00FF55BB">
        <w:t>4</w:t>
      </w:r>
      <w:r w:rsidRPr="005E0062">
        <w:t xml:space="preserve">). This </w:t>
      </w:r>
      <w:r w:rsidR="0034265F">
        <w:t>was</w:t>
      </w:r>
      <w:r w:rsidRPr="005E0062">
        <w:t xml:space="preserve"> caused by </w:t>
      </w:r>
      <w:r w:rsidR="0034265F">
        <w:t xml:space="preserve">the </w:t>
      </w:r>
      <w:r w:rsidRPr="005E0062">
        <w:t>increas</w:t>
      </w:r>
      <w:r w:rsidR="0034265F">
        <w:t>ed</w:t>
      </w:r>
      <w:r w:rsidRPr="005E0062">
        <w:t xml:space="preserve"> of fixed carbon at </w:t>
      </w:r>
      <w:r w:rsidR="00790FBD">
        <w:t>500</w:t>
      </w:r>
      <w:r w:rsidRPr="005E0062">
        <w:t>-</w:t>
      </w:r>
      <w:r w:rsidR="00790FBD">
        <w:t>70</w:t>
      </w:r>
      <w:r w:rsidRPr="005E0062">
        <w:t>0 °C of pyrolysis temperature. Fixed carbon contain</w:t>
      </w:r>
      <w:r w:rsidR="0034265F">
        <w:t>ed</w:t>
      </w:r>
      <w:r w:rsidRPr="005E0062">
        <w:t xml:space="preserve"> a large energy density. The higher the fixed carbon, the higher the calorific value of char</w:t>
      </w:r>
      <w:r w:rsidR="000C7C0D">
        <w:t xml:space="preserve"> (</w:t>
      </w:r>
      <w:proofErr w:type="spellStart"/>
      <w:r w:rsidR="000C7C0D" w:rsidRPr="000C7C0D">
        <w:t>Anupam</w:t>
      </w:r>
      <w:proofErr w:type="spellEnd"/>
      <w:r w:rsidR="000C7C0D" w:rsidRPr="000C7C0D">
        <w:t xml:space="preserve">, K., Sharma, A.K., Lal, P.S., Dutta, S., and </w:t>
      </w:r>
      <w:proofErr w:type="spellStart"/>
      <w:r w:rsidR="000C7C0D" w:rsidRPr="000C7C0D">
        <w:t>Maity</w:t>
      </w:r>
      <w:proofErr w:type="spellEnd"/>
      <w:r w:rsidR="000C7C0D" w:rsidRPr="000C7C0D">
        <w:t>, S., 2016</w:t>
      </w:r>
      <w:r w:rsidR="000C7C0D">
        <w:t>)</w:t>
      </w:r>
      <w:r w:rsidR="00C914CD" w:rsidRPr="009D6EE5">
        <w:t>.</w:t>
      </w:r>
    </w:p>
    <w:p w14:paraId="0261E7E0" w14:textId="77777777" w:rsidR="00F541AF" w:rsidRPr="009D6EE5" w:rsidRDefault="00F541AF" w:rsidP="00ED58C1">
      <w:pPr>
        <w:pStyle w:val="BodiText"/>
      </w:pPr>
    </w:p>
    <w:p w14:paraId="01092C8F" w14:textId="57176AAA" w:rsidR="00F541AF" w:rsidRPr="009D6EE5" w:rsidRDefault="008D2E2F" w:rsidP="00ED58C1">
      <w:pPr>
        <w:pStyle w:val="SectionTitle"/>
        <w:rPr>
          <w:lang w:val="id-ID"/>
        </w:rPr>
      </w:pPr>
      <w:r>
        <w:t xml:space="preserve">Char </w:t>
      </w:r>
      <w:r w:rsidR="00ED58C1">
        <w:t>Energy Content</w:t>
      </w:r>
    </w:p>
    <w:p w14:paraId="57FF158F" w14:textId="77777777" w:rsidR="00F541AF" w:rsidRPr="00ED58C1" w:rsidRDefault="00F541AF" w:rsidP="00ED58C1">
      <w:pPr>
        <w:pStyle w:val="BodiText"/>
      </w:pPr>
    </w:p>
    <w:p w14:paraId="1BF6A5F7" w14:textId="13C569AD" w:rsidR="00824C09" w:rsidRDefault="00F541AF" w:rsidP="00ED58C1">
      <w:pPr>
        <w:pStyle w:val="BodiText"/>
        <w:rPr>
          <w:lang w:eastAsia="ja-JP"/>
        </w:rPr>
      </w:pPr>
      <w:r w:rsidRPr="005E0062">
        <w:t xml:space="preserve">The energy content of char to </w:t>
      </w:r>
      <w:r w:rsidR="008D2E2F">
        <w:t xml:space="preserve">coal </w:t>
      </w:r>
      <w:r w:rsidRPr="005E0062">
        <w:t xml:space="preserve">resulted from the calculation of mass and energy balance </w:t>
      </w:r>
      <w:r w:rsidR="0034265F">
        <w:t xml:space="preserve">were showed in </w:t>
      </w:r>
      <w:r w:rsidRPr="005E0062">
        <w:t xml:space="preserve">Table </w:t>
      </w:r>
      <w:r w:rsidR="008D2E2F">
        <w:t>3 and 4</w:t>
      </w:r>
      <w:r w:rsidRPr="005E0062">
        <w:t xml:space="preserve">. </w:t>
      </w:r>
      <w:r w:rsidR="00932CE2">
        <w:t>C</w:t>
      </w:r>
      <w:r w:rsidRPr="005E0062">
        <w:t xml:space="preserve">har energy content </w:t>
      </w:r>
      <w:r w:rsidR="00946B25">
        <w:t xml:space="preserve">of </w:t>
      </w:r>
      <w:r w:rsidRPr="005E0062">
        <w:t xml:space="preserve">in pyrolysis temperatures of </w:t>
      </w:r>
      <w:r w:rsidR="000767EC">
        <w:t>5</w:t>
      </w:r>
      <w:r w:rsidRPr="005E0062">
        <w:t xml:space="preserve">00, </w:t>
      </w:r>
      <w:r w:rsidR="000767EC">
        <w:t>6</w:t>
      </w:r>
      <w:r w:rsidR="000767EC" w:rsidRPr="005E0062">
        <w:t>00</w:t>
      </w:r>
      <w:r w:rsidR="000767EC">
        <w:t xml:space="preserve">, 700, and 800 </w:t>
      </w:r>
      <w:bookmarkStart w:id="0" w:name="_Hlk70151875"/>
      <w:r w:rsidR="000767EC">
        <w:t>º</w:t>
      </w:r>
      <w:r w:rsidR="000767EC" w:rsidRPr="005E0062">
        <w:t>C</w:t>
      </w:r>
      <w:bookmarkEnd w:id="0"/>
      <w:r w:rsidR="000767EC" w:rsidRPr="005E0062">
        <w:t xml:space="preserve"> </w:t>
      </w:r>
      <w:r w:rsidRPr="005E0062">
        <w:t>w</w:t>
      </w:r>
      <w:r w:rsidR="000767EC">
        <w:t>ere</w:t>
      </w:r>
      <w:r w:rsidRPr="005E0062">
        <w:t xml:space="preserve"> </w:t>
      </w:r>
      <w:r w:rsidR="00946B25" w:rsidRPr="00D42A97">
        <w:t>95</w:t>
      </w:r>
      <w:r w:rsidR="00946B25">
        <w:t>.</w:t>
      </w:r>
      <w:r w:rsidR="00946B25" w:rsidRPr="00D42A97">
        <w:t>7</w:t>
      </w:r>
      <w:r w:rsidR="00946B25">
        <w:t>5</w:t>
      </w:r>
      <w:r w:rsidRPr="005E0062">
        <w:t xml:space="preserve">, </w:t>
      </w:r>
      <w:r w:rsidR="00946B25" w:rsidRPr="00D42A97">
        <w:t>95</w:t>
      </w:r>
      <w:r w:rsidR="00946B25">
        <w:t>.</w:t>
      </w:r>
      <w:r w:rsidR="00946B25" w:rsidRPr="00D42A97">
        <w:t>63</w:t>
      </w:r>
      <w:r w:rsidRPr="005E0062">
        <w:t xml:space="preserve">, </w:t>
      </w:r>
      <w:r w:rsidR="00946B25" w:rsidRPr="00D42A97">
        <w:t>84</w:t>
      </w:r>
      <w:r w:rsidR="00946B25">
        <w:t>.</w:t>
      </w:r>
      <w:r w:rsidR="00946B25" w:rsidRPr="00D42A97">
        <w:t>11</w:t>
      </w:r>
      <w:r w:rsidR="00573ADD">
        <w:t xml:space="preserve">, </w:t>
      </w:r>
      <w:r w:rsidR="00946B25" w:rsidRPr="00D42A97">
        <w:t>65</w:t>
      </w:r>
      <w:r w:rsidR="00946B25">
        <w:t>.</w:t>
      </w:r>
      <w:r w:rsidR="00946B25" w:rsidRPr="00D42A97">
        <w:t>0</w:t>
      </w:r>
      <w:r w:rsidR="00946B25">
        <w:t>7</w:t>
      </w:r>
      <w:r w:rsidRPr="005E0062">
        <w:t>%</w:t>
      </w:r>
      <w:r w:rsidR="00573ADD">
        <w:t xml:space="preserve"> for Coal A and </w:t>
      </w:r>
      <w:r w:rsidR="00573ADD" w:rsidRPr="0074788B">
        <w:t>92</w:t>
      </w:r>
      <w:r w:rsidR="00573ADD">
        <w:t>.</w:t>
      </w:r>
      <w:r w:rsidR="00573ADD" w:rsidRPr="0074788B">
        <w:t>39</w:t>
      </w:r>
      <w:r w:rsidR="00573ADD">
        <w:t xml:space="preserve">, </w:t>
      </w:r>
      <w:r w:rsidR="00573ADD" w:rsidRPr="0074788B">
        <w:t>86</w:t>
      </w:r>
      <w:r w:rsidR="00573ADD">
        <w:t>.</w:t>
      </w:r>
      <w:r w:rsidR="00573ADD" w:rsidRPr="0074788B">
        <w:t>12</w:t>
      </w:r>
      <w:r w:rsidR="00573ADD">
        <w:t xml:space="preserve">, </w:t>
      </w:r>
      <w:r w:rsidR="00573ADD" w:rsidRPr="0074788B">
        <w:t>84</w:t>
      </w:r>
      <w:r w:rsidR="00573ADD">
        <w:t>.</w:t>
      </w:r>
      <w:r w:rsidR="00573ADD" w:rsidRPr="0074788B">
        <w:t>6</w:t>
      </w:r>
      <w:r w:rsidR="00573ADD">
        <w:t xml:space="preserve">3, </w:t>
      </w:r>
      <w:r w:rsidR="00573ADD" w:rsidRPr="0074788B">
        <w:t>66</w:t>
      </w:r>
      <w:r w:rsidR="00573ADD">
        <w:t>.</w:t>
      </w:r>
      <w:r w:rsidR="00573ADD" w:rsidRPr="0074788B">
        <w:t>8</w:t>
      </w:r>
      <w:r w:rsidR="00573ADD">
        <w:t>6% for Coal B</w:t>
      </w:r>
      <w:r w:rsidRPr="005E0062">
        <w:t xml:space="preserve">. From that result, the recommended pyrolysis temperature </w:t>
      </w:r>
      <w:r w:rsidR="0034265F">
        <w:t>was</w:t>
      </w:r>
      <w:r w:rsidRPr="005E0062">
        <w:t xml:space="preserve"> </w:t>
      </w:r>
      <w:r w:rsidR="00824C09">
        <w:lastRenderedPageBreak/>
        <w:t>500-</w:t>
      </w:r>
      <w:r w:rsidR="00782F8C">
        <w:t>60</w:t>
      </w:r>
      <w:r w:rsidRPr="005E0062">
        <w:t xml:space="preserve">0 </w:t>
      </w:r>
      <w:r w:rsidR="00782F8C">
        <w:t>º</w:t>
      </w:r>
      <w:r w:rsidR="00782F8C" w:rsidRPr="005E0062">
        <w:t>C</w:t>
      </w:r>
      <w:r w:rsidRPr="005E0062">
        <w:t>.</w:t>
      </w:r>
      <w:r w:rsidR="00824C09" w:rsidRPr="00824C09">
        <w:rPr>
          <w:lang w:eastAsia="ja-JP"/>
        </w:rPr>
        <w:t xml:space="preserve"> </w:t>
      </w:r>
      <w:r w:rsidR="00824C09" w:rsidRPr="005E0062">
        <w:rPr>
          <w:lang w:eastAsia="ja-JP"/>
        </w:rPr>
        <w:t xml:space="preserve">The remaining energy was found in other pyrolysis products (tar and NCG). Pyrolysis products that increase with the increase of pyrolysis temperature were tar and NCG as shown in Figure 2. The mixture of tar and NCG was known as a volatile matter (VM). VM has high energy content and </w:t>
      </w:r>
      <w:r w:rsidR="00824C09">
        <w:rPr>
          <w:lang w:eastAsia="ja-JP"/>
        </w:rPr>
        <w:t>can</w:t>
      </w:r>
      <w:r w:rsidR="00824C09" w:rsidRPr="005E0062">
        <w:rPr>
          <w:lang w:eastAsia="ja-JP"/>
        </w:rPr>
        <w:t xml:space="preserve"> be utilized</w:t>
      </w:r>
      <w:r w:rsidR="0034265F">
        <w:rPr>
          <w:lang w:eastAsia="ja-JP"/>
        </w:rPr>
        <w:t xml:space="preserve"> further</w:t>
      </w:r>
      <w:r w:rsidR="00824C09" w:rsidRPr="005E0062">
        <w:rPr>
          <w:lang w:eastAsia="ja-JP"/>
        </w:rPr>
        <w:t>.</w:t>
      </w:r>
    </w:p>
    <w:p w14:paraId="1773D5BC" w14:textId="79541F2D" w:rsidR="00FF55BB" w:rsidRDefault="00FF55BB" w:rsidP="00ED58C1">
      <w:pPr>
        <w:pStyle w:val="BodiText"/>
        <w:rPr>
          <w:lang w:eastAsia="ja-JP"/>
        </w:rPr>
      </w:pPr>
    </w:p>
    <w:p w14:paraId="2B3CE860" w14:textId="77777777" w:rsidR="00FF55BB" w:rsidRDefault="00FF55BB" w:rsidP="00ED58C1">
      <w:pPr>
        <w:pStyle w:val="BodiText"/>
        <w:rPr>
          <w:lang w:eastAsia="ja-JP"/>
        </w:rPr>
      </w:pPr>
    </w:p>
    <w:p w14:paraId="174A8AA1" w14:textId="77777777" w:rsidR="00FF55BB" w:rsidRPr="009D6EE5" w:rsidRDefault="00FF55BB" w:rsidP="00FF55BB">
      <w:pPr>
        <w:pStyle w:val="ChapterTitle"/>
      </w:pPr>
      <w:r w:rsidRPr="009D6EE5">
        <w:t>Conclusions</w:t>
      </w:r>
    </w:p>
    <w:p w14:paraId="21B50A46" w14:textId="77777777" w:rsidR="00FF55BB" w:rsidRPr="009D6EE5" w:rsidRDefault="00FF55BB" w:rsidP="00FF55BB">
      <w:pPr>
        <w:pStyle w:val="BodiText"/>
      </w:pPr>
    </w:p>
    <w:p w14:paraId="59A67DAB" w14:textId="54E8911D" w:rsidR="00FF55BB" w:rsidRDefault="00FF55BB" w:rsidP="00ED58C1">
      <w:pPr>
        <w:pStyle w:val="BodiText"/>
        <w:sectPr w:rsidR="00FF55BB" w:rsidSect="00FF55BB">
          <w:type w:val="continuous"/>
          <w:pgSz w:w="11906" w:h="16838" w:code="9"/>
          <w:pgMar w:top="1701" w:right="1701" w:bottom="1701" w:left="1701" w:header="0" w:footer="0" w:gutter="0"/>
          <w:cols w:num="2" w:space="567"/>
          <w:docGrid w:linePitch="360"/>
        </w:sectPr>
      </w:pPr>
      <w:r>
        <w:t xml:space="preserve">Low moisture content coal produced more char in </w:t>
      </w:r>
      <w:r w:rsidRPr="00275988">
        <w:t>slow pyrolysis</w:t>
      </w:r>
      <w:r>
        <w:t xml:space="preserve"> process. High calorific value of char was obtained in the range temperature of 500 and 600 ºC. </w:t>
      </w:r>
      <w:r w:rsidRPr="005E0062">
        <w:t xml:space="preserve">The utilization of volatile </w:t>
      </w:r>
      <w:r>
        <w:t xml:space="preserve">matter </w:t>
      </w:r>
      <w:r w:rsidRPr="005E0062">
        <w:t xml:space="preserve">from the </w:t>
      </w:r>
      <w:r w:rsidRPr="00275988">
        <w:t>slow pyrolysis</w:t>
      </w:r>
      <w:r w:rsidRPr="005E0062">
        <w:t xml:space="preserve"> process need to be investigated further so the pyrolysis technology can be applied in an integrated </w:t>
      </w:r>
      <w:r>
        <w:t>scheme</w:t>
      </w:r>
      <w:r w:rsidRPr="005E0062">
        <w:t xml:space="preserve"> at the power plant.</w:t>
      </w:r>
    </w:p>
    <w:p w14:paraId="23BFF0C4" w14:textId="5E03FA4E" w:rsidR="00F541AF" w:rsidRDefault="00F541AF" w:rsidP="00ED58C1">
      <w:pPr>
        <w:pStyle w:val="BodiText"/>
      </w:pPr>
    </w:p>
    <w:p w14:paraId="5CDFF2D5" w14:textId="77777777" w:rsidR="00ED58C1" w:rsidRPr="009D6EE5" w:rsidRDefault="00ED58C1" w:rsidP="00ED58C1">
      <w:pPr>
        <w:pStyle w:val="BodiText"/>
      </w:pPr>
    </w:p>
    <w:p w14:paraId="15845111" w14:textId="1673B584" w:rsidR="00F541AF" w:rsidRDefault="00F541AF" w:rsidP="00ED58C1">
      <w:pPr>
        <w:pStyle w:val="TableTitle"/>
      </w:pPr>
      <w:r w:rsidRPr="00ED58C1">
        <w:t xml:space="preserve">Table </w:t>
      </w:r>
      <w:r w:rsidR="002C431F" w:rsidRPr="00ED58C1">
        <w:t>3</w:t>
      </w:r>
      <w:r w:rsidRPr="00ED58C1">
        <w:t xml:space="preserve">. </w:t>
      </w:r>
      <w:r w:rsidR="000E674D" w:rsidRPr="00ED58C1">
        <w:t>Coal A char</w:t>
      </w:r>
      <w:r w:rsidRPr="00ED58C1">
        <w:t xml:space="preserve"> analysis</w:t>
      </w:r>
    </w:p>
    <w:p w14:paraId="70073E26" w14:textId="77777777" w:rsidR="00ED58C1" w:rsidRPr="00ED58C1" w:rsidRDefault="00ED58C1" w:rsidP="00ED58C1">
      <w:pPr>
        <w:pStyle w:val="TableTitle"/>
      </w:pPr>
    </w:p>
    <w:tbl>
      <w:tblPr>
        <w:tblW w:w="8505" w:type="dxa"/>
        <w:tblBorders>
          <w:top w:val="single" w:sz="4" w:space="0" w:color="auto"/>
          <w:bottom w:val="single" w:sz="4" w:space="0" w:color="auto"/>
        </w:tblBorders>
        <w:tblLook w:val="04A0" w:firstRow="1" w:lastRow="0" w:firstColumn="1" w:lastColumn="0" w:noHBand="0" w:noVBand="1"/>
      </w:tblPr>
      <w:tblGrid>
        <w:gridCol w:w="2552"/>
        <w:gridCol w:w="889"/>
        <w:gridCol w:w="1096"/>
        <w:gridCol w:w="1144"/>
        <w:gridCol w:w="948"/>
        <w:gridCol w:w="948"/>
        <w:gridCol w:w="867"/>
        <w:gridCol w:w="61"/>
      </w:tblGrid>
      <w:tr w:rsidR="00D42A97" w:rsidRPr="00ED58C1" w14:paraId="36BBA621" w14:textId="5D2D2457" w:rsidTr="00ED58C1">
        <w:trPr>
          <w:gridAfter w:val="1"/>
          <w:wAfter w:w="61" w:type="dxa"/>
          <w:trHeight w:val="170"/>
        </w:trPr>
        <w:tc>
          <w:tcPr>
            <w:tcW w:w="2552" w:type="dxa"/>
            <w:vMerge w:val="restart"/>
            <w:tcBorders>
              <w:top w:val="single" w:sz="4" w:space="0" w:color="auto"/>
              <w:bottom w:val="single" w:sz="4" w:space="0" w:color="auto"/>
            </w:tcBorders>
            <w:noWrap/>
            <w:vAlign w:val="center"/>
            <w:hideMark/>
          </w:tcPr>
          <w:p w14:paraId="1026C60E" w14:textId="77777777" w:rsidR="000B57FB" w:rsidRPr="00ED58C1" w:rsidRDefault="000B57FB" w:rsidP="00ED58C1">
            <w:pPr>
              <w:pStyle w:val="TableContent"/>
              <w:jc w:val="center"/>
              <w:rPr>
                <w:bCs/>
                <w:lang w:val="en-ID"/>
              </w:rPr>
            </w:pPr>
            <w:r w:rsidRPr="00ED58C1">
              <w:t>Parameter</w:t>
            </w:r>
          </w:p>
        </w:tc>
        <w:tc>
          <w:tcPr>
            <w:tcW w:w="889" w:type="dxa"/>
            <w:vMerge w:val="restart"/>
            <w:tcBorders>
              <w:top w:val="single" w:sz="4" w:space="0" w:color="auto"/>
              <w:bottom w:val="single" w:sz="4" w:space="0" w:color="auto"/>
            </w:tcBorders>
            <w:noWrap/>
            <w:vAlign w:val="center"/>
            <w:hideMark/>
          </w:tcPr>
          <w:p w14:paraId="3A88C880" w14:textId="77777777" w:rsidR="000B57FB" w:rsidRPr="00ED58C1" w:rsidRDefault="000B57FB" w:rsidP="00ED58C1">
            <w:pPr>
              <w:pStyle w:val="TableContent"/>
              <w:jc w:val="center"/>
            </w:pPr>
            <w:r w:rsidRPr="00ED58C1">
              <w:t>Unit</w:t>
            </w:r>
          </w:p>
        </w:tc>
        <w:tc>
          <w:tcPr>
            <w:tcW w:w="1096" w:type="dxa"/>
            <w:vMerge w:val="restart"/>
            <w:tcBorders>
              <w:top w:val="single" w:sz="4" w:space="0" w:color="auto"/>
              <w:bottom w:val="single" w:sz="4" w:space="0" w:color="auto"/>
            </w:tcBorders>
            <w:vAlign w:val="center"/>
            <w:hideMark/>
          </w:tcPr>
          <w:p w14:paraId="2C809FEE" w14:textId="44AD2647" w:rsidR="000B57FB" w:rsidRPr="00ED58C1" w:rsidRDefault="000B57FB" w:rsidP="00ED58C1">
            <w:pPr>
              <w:pStyle w:val="TableContent"/>
              <w:jc w:val="center"/>
              <w:rPr>
                <w:lang w:val="en-ID"/>
              </w:rPr>
            </w:pPr>
            <w:r w:rsidRPr="00ED58C1">
              <w:t>Coal A</w:t>
            </w:r>
          </w:p>
        </w:tc>
        <w:tc>
          <w:tcPr>
            <w:tcW w:w="3040" w:type="dxa"/>
            <w:gridSpan w:val="3"/>
            <w:tcBorders>
              <w:top w:val="single" w:sz="4" w:space="0" w:color="auto"/>
              <w:bottom w:val="single" w:sz="4" w:space="0" w:color="auto"/>
            </w:tcBorders>
            <w:noWrap/>
            <w:vAlign w:val="center"/>
            <w:hideMark/>
          </w:tcPr>
          <w:p w14:paraId="5D844799" w14:textId="1A8A579B" w:rsidR="000B57FB" w:rsidRPr="00ED58C1" w:rsidRDefault="000B57FB" w:rsidP="00ED58C1">
            <w:pPr>
              <w:pStyle w:val="TableContent"/>
              <w:jc w:val="center"/>
              <w:rPr>
                <w:lang w:val="en-ID"/>
              </w:rPr>
            </w:pPr>
            <w:r w:rsidRPr="00ED58C1">
              <w:t>Coal A Char</w:t>
            </w:r>
          </w:p>
        </w:tc>
        <w:tc>
          <w:tcPr>
            <w:tcW w:w="867" w:type="dxa"/>
            <w:tcBorders>
              <w:top w:val="single" w:sz="4" w:space="0" w:color="auto"/>
              <w:bottom w:val="single" w:sz="4" w:space="0" w:color="auto"/>
            </w:tcBorders>
            <w:vAlign w:val="center"/>
          </w:tcPr>
          <w:p w14:paraId="27D7F2F3" w14:textId="77777777" w:rsidR="000B57FB" w:rsidRPr="00ED58C1" w:rsidRDefault="000B57FB" w:rsidP="00ED58C1">
            <w:pPr>
              <w:pStyle w:val="TableContent"/>
              <w:jc w:val="center"/>
              <w:rPr>
                <w:bCs/>
              </w:rPr>
            </w:pPr>
          </w:p>
        </w:tc>
      </w:tr>
      <w:tr w:rsidR="00D42A97" w:rsidRPr="00ED58C1" w14:paraId="5BE97B3E" w14:textId="229029D9" w:rsidTr="00ED58C1">
        <w:trPr>
          <w:gridAfter w:val="1"/>
          <w:wAfter w:w="61" w:type="dxa"/>
          <w:trHeight w:val="170"/>
        </w:trPr>
        <w:tc>
          <w:tcPr>
            <w:tcW w:w="2552" w:type="dxa"/>
            <w:vMerge/>
            <w:tcBorders>
              <w:top w:val="single" w:sz="4" w:space="0" w:color="auto"/>
              <w:bottom w:val="single" w:sz="4" w:space="0" w:color="auto"/>
            </w:tcBorders>
            <w:vAlign w:val="center"/>
            <w:hideMark/>
          </w:tcPr>
          <w:p w14:paraId="57E108E4" w14:textId="77777777" w:rsidR="000B57FB" w:rsidRPr="00ED58C1" w:rsidRDefault="000B57FB" w:rsidP="00ED58C1">
            <w:pPr>
              <w:pStyle w:val="TableContent"/>
              <w:jc w:val="center"/>
              <w:rPr>
                <w:bCs/>
                <w:lang w:val="en-ID"/>
              </w:rPr>
            </w:pPr>
          </w:p>
        </w:tc>
        <w:tc>
          <w:tcPr>
            <w:tcW w:w="889" w:type="dxa"/>
            <w:vMerge/>
            <w:tcBorders>
              <w:top w:val="single" w:sz="4" w:space="0" w:color="auto"/>
              <w:bottom w:val="single" w:sz="4" w:space="0" w:color="auto"/>
            </w:tcBorders>
            <w:vAlign w:val="center"/>
            <w:hideMark/>
          </w:tcPr>
          <w:p w14:paraId="6F1F08EA" w14:textId="77777777" w:rsidR="000B57FB" w:rsidRPr="00ED58C1" w:rsidRDefault="000B57FB" w:rsidP="00ED58C1">
            <w:pPr>
              <w:pStyle w:val="TableContent"/>
              <w:jc w:val="center"/>
              <w:rPr>
                <w:bCs/>
                <w:lang w:val="en-ID"/>
              </w:rPr>
            </w:pPr>
          </w:p>
        </w:tc>
        <w:tc>
          <w:tcPr>
            <w:tcW w:w="1096" w:type="dxa"/>
            <w:vMerge/>
            <w:tcBorders>
              <w:top w:val="single" w:sz="4" w:space="0" w:color="auto"/>
              <w:bottom w:val="single" w:sz="4" w:space="0" w:color="auto"/>
            </w:tcBorders>
            <w:vAlign w:val="center"/>
            <w:hideMark/>
          </w:tcPr>
          <w:p w14:paraId="14A5DD0A" w14:textId="77777777" w:rsidR="000B57FB" w:rsidRPr="00ED58C1" w:rsidRDefault="000B57FB" w:rsidP="00ED58C1">
            <w:pPr>
              <w:pStyle w:val="TableContent"/>
              <w:jc w:val="center"/>
              <w:rPr>
                <w:bCs/>
                <w:lang w:val="en-ID"/>
              </w:rPr>
            </w:pPr>
          </w:p>
        </w:tc>
        <w:tc>
          <w:tcPr>
            <w:tcW w:w="1144" w:type="dxa"/>
            <w:tcBorders>
              <w:top w:val="single" w:sz="4" w:space="0" w:color="auto"/>
              <w:bottom w:val="single" w:sz="4" w:space="0" w:color="auto"/>
            </w:tcBorders>
            <w:noWrap/>
            <w:vAlign w:val="center"/>
            <w:hideMark/>
          </w:tcPr>
          <w:p w14:paraId="3A1D8EFE" w14:textId="20DB453B" w:rsidR="000B57FB" w:rsidRPr="00ED58C1" w:rsidRDefault="000B57FB" w:rsidP="00ED58C1">
            <w:pPr>
              <w:pStyle w:val="TableContent"/>
              <w:jc w:val="center"/>
              <w:rPr>
                <w:bCs/>
                <w:lang w:val="en-ID"/>
              </w:rPr>
            </w:pPr>
            <w:r w:rsidRPr="00ED58C1">
              <w:rPr>
                <w:bCs/>
              </w:rPr>
              <w:t>500°C</w:t>
            </w:r>
          </w:p>
        </w:tc>
        <w:tc>
          <w:tcPr>
            <w:tcW w:w="948" w:type="dxa"/>
            <w:tcBorders>
              <w:top w:val="single" w:sz="4" w:space="0" w:color="auto"/>
              <w:bottom w:val="single" w:sz="4" w:space="0" w:color="auto"/>
            </w:tcBorders>
            <w:noWrap/>
            <w:vAlign w:val="center"/>
            <w:hideMark/>
          </w:tcPr>
          <w:p w14:paraId="1B036F42" w14:textId="1F340C82" w:rsidR="000B57FB" w:rsidRPr="00ED58C1" w:rsidRDefault="000B57FB" w:rsidP="00ED58C1">
            <w:pPr>
              <w:pStyle w:val="TableContent"/>
              <w:jc w:val="center"/>
              <w:rPr>
                <w:bCs/>
                <w:lang w:val="en-ID"/>
              </w:rPr>
            </w:pPr>
            <w:r w:rsidRPr="00ED58C1">
              <w:rPr>
                <w:bCs/>
              </w:rPr>
              <w:t>600°C</w:t>
            </w:r>
          </w:p>
        </w:tc>
        <w:tc>
          <w:tcPr>
            <w:tcW w:w="948" w:type="dxa"/>
            <w:tcBorders>
              <w:top w:val="single" w:sz="4" w:space="0" w:color="auto"/>
              <w:bottom w:val="single" w:sz="4" w:space="0" w:color="auto"/>
            </w:tcBorders>
            <w:noWrap/>
            <w:vAlign w:val="center"/>
            <w:hideMark/>
          </w:tcPr>
          <w:p w14:paraId="6DCFE74E" w14:textId="7C3CB7FE" w:rsidR="000B57FB" w:rsidRPr="00ED58C1" w:rsidRDefault="000B57FB" w:rsidP="00ED58C1">
            <w:pPr>
              <w:pStyle w:val="TableContent"/>
              <w:jc w:val="center"/>
              <w:rPr>
                <w:bCs/>
                <w:lang w:val="en-ID"/>
              </w:rPr>
            </w:pPr>
            <w:r w:rsidRPr="00ED58C1">
              <w:rPr>
                <w:bCs/>
              </w:rPr>
              <w:t>700°C</w:t>
            </w:r>
          </w:p>
        </w:tc>
        <w:tc>
          <w:tcPr>
            <w:tcW w:w="867" w:type="dxa"/>
            <w:tcBorders>
              <w:top w:val="single" w:sz="4" w:space="0" w:color="auto"/>
              <w:bottom w:val="single" w:sz="4" w:space="0" w:color="auto"/>
            </w:tcBorders>
            <w:vAlign w:val="center"/>
          </w:tcPr>
          <w:p w14:paraId="0FA22DF2" w14:textId="0A5BF61B" w:rsidR="000B57FB" w:rsidRPr="00ED58C1" w:rsidRDefault="000B57FB" w:rsidP="00ED58C1">
            <w:pPr>
              <w:pStyle w:val="TableContent"/>
              <w:jc w:val="center"/>
              <w:rPr>
                <w:bCs/>
              </w:rPr>
            </w:pPr>
            <w:r w:rsidRPr="00ED58C1">
              <w:rPr>
                <w:bCs/>
              </w:rPr>
              <w:t>800°C</w:t>
            </w:r>
          </w:p>
        </w:tc>
      </w:tr>
      <w:tr w:rsidR="00D42A97" w:rsidRPr="00D42A97" w14:paraId="7AB563DE" w14:textId="5BC954A9" w:rsidTr="00ED58C1">
        <w:trPr>
          <w:trHeight w:val="170"/>
        </w:trPr>
        <w:tc>
          <w:tcPr>
            <w:tcW w:w="2552" w:type="dxa"/>
            <w:tcBorders>
              <w:top w:val="single" w:sz="4" w:space="0" w:color="auto"/>
            </w:tcBorders>
            <w:noWrap/>
            <w:hideMark/>
          </w:tcPr>
          <w:p w14:paraId="2729E68C" w14:textId="77777777" w:rsidR="00D42A97" w:rsidRPr="00D42A97" w:rsidRDefault="00D42A97" w:rsidP="00ED58C1">
            <w:pPr>
              <w:pStyle w:val="TableContent"/>
              <w:rPr>
                <w:lang w:val="en-ID"/>
              </w:rPr>
            </w:pPr>
            <w:r w:rsidRPr="00D42A97">
              <w:t>Weight</w:t>
            </w:r>
          </w:p>
        </w:tc>
        <w:tc>
          <w:tcPr>
            <w:tcW w:w="889" w:type="dxa"/>
            <w:tcBorders>
              <w:top w:val="single" w:sz="4" w:space="0" w:color="auto"/>
            </w:tcBorders>
            <w:noWrap/>
            <w:hideMark/>
          </w:tcPr>
          <w:p w14:paraId="0D7E475A" w14:textId="46CB9584" w:rsidR="00D42A97" w:rsidRPr="00D42A97" w:rsidRDefault="00D42A97" w:rsidP="00ED58C1">
            <w:pPr>
              <w:pStyle w:val="TableContent"/>
              <w:jc w:val="center"/>
              <w:rPr>
                <w:lang w:val="en-ID"/>
              </w:rPr>
            </w:pPr>
            <w:r w:rsidRPr="00D42A97">
              <w:t>%</w:t>
            </w:r>
          </w:p>
        </w:tc>
        <w:tc>
          <w:tcPr>
            <w:tcW w:w="1096" w:type="dxa"/>
            <w:tcBorders>
              <w:top w:val="single" w:sz="4" w:space="0" w:color="auto"/>
            </w:tcBorders>
            <w:noWrap/>
            <w:hideMark/>
          </w:tcPr>
          <w:p w14:paraId="40840DE7" w14:textId="5D402658" w:rsidR="00D42A97" w:rsidRPr="00D42A97" w:rsidRDefault="00D42A97" w:rsidP="00ED58C1">
            <w:pPr>
              <w:pStyle w:val="TableContent"/>
              <w:jc w:val="right"/>
              <w:rPr>
                <w:lang w:val="en-ID"/>
              </w:rPr>
            </w:pPr>
            <w:r w:rsidRPr="00D42A97">
              <w:t>100</w:t>
            </w:r>
          </w:p>
        </w:tc>
        <w:tc>
          <w:tcPr>
            <w:tcW w:w="1144" w:type="dxa"/>
            <w:tcBorders>
              <w:top w:val="single" w:sz="4" w:space="0" w:color="auto"/>
            </w:tcBorders>
            <w:noWrap/>
            <w:hideMark/>
          </w:tcPr>
          <w:p w14:paraId="25163854" w14:textId="1F79B29B" w:rsidR="00D42A97" w:rsidRPr="00D42A97" w:rsidRDefault="00D42A97" w:rsidP="00ED58C1">
            <w:pPr>
              <w:pStyle w:val="TableContent"/>
              <w:jc w:val="right"/>
              <w:rPr>
                <w:lang w:val="en-ID"/>
              </w:rPr>
            </w:pPr>
            <w:r w:rsidRPr="00D42A97">
              <w:t>80</w:t>
            </w:r>
            <w:r>
              <w:t>.</w:t>
            </w:r>
            <w:r w:rsidRPr="00D42A97">
              <w:t>83</w:t>
            </w:r>
          </w:p>
        </w:tc>
        <w:tc>
          <w:tcPr>
            <w:tcW w:w="948" w:type="dxa"/>
            <w:tcBorders>
              <w:top w:val="single" w:sz="4" w:space="0" w:color="auto"/>
            </w:tcBorders>
            <w:noWrap/>
            <w:hideMark/>
          </w:tcPr>
          <w:p w14:paraId="607BA716" w14:textId="2C08ECEA" w:rsidR="00D42A97" w:rsidRPr="00D42A97" w:rsidRDefault="00D42A97" w:rsidP="00ED58C1">
            <w:pPr>
              <w:pStyle w:val="TableContent"/>
              <w:jc w:val="right"/>
              <w:rPr>
                <w:lang w:val="en-ID"/>
              </w:rPr>
            </w:pPr>
            <w:r w:rsidRPr="00D42A97">
              <w:t>74</w:t>
            </w:r>
            <w:r>
              <w:t>.</w:t>
            </w:r>
            <w:r w:rsidRPr="00D42A97">
              <w:t>54</w:t>
            </w:r>
          </w:p>
        </w:tc>
        <w:tc>
          <w:tcPr>
            <w:tcW w:w="948" w:type="dxa"/>
            <w:tcBorders>
              <w:top w:val="single" w:sz="4" w:space="0" w:color="auto"/>
            </w:tcBorders>
            <w:noWrap/>
            <w:hideMark/>
          </w:tcPr>
          <w:p w14:paraId="02C5D628" w14:textId="523BCAC9" w:rsidR="00D42A97" w:rsidRPr="00D42A97" w:rsidRDefault="00D42A97" w:rsidP="00ED58C1">
            <w:pPr>
              <w:pStyle w:val="TableContent"/>
              <w:jc w:val="right"/>
              <w:rPr>
                <w:lang w:val="en-ID"/>
              </w:rPr>
            </w:pPr>
            <w:r w:rsidRPr="00D42A97">
              <w:t>66</w:t>
            </w:r>
            <w:r>
              <w:t>.</w:t>
            </w:r>
            <w:r w:rsidRPr="00D42A97">
              <w:t>77</w:t>
            </w:r>
          </w:p>
        </w:tc>
        <w:tc>
          <w:tcPr>
            <w:tcW w:w="928" w:type="dxa"/>
            <w:gridSpan w:val="2"/>
            <w:tcBorders>
              <w:top w:val="single" w:sz="4" w:space="0" w:color="auto"/>
            </w:tcBorders>
          </w:tcPr>
          <w:p w14:paraId="55C1B6A1" w14:textId="44770990" w:rsidR="00D42A97" w:rsidRPr="00D42A97" w:rsidRDefault="00D42A97" w:rsidP="00ED58C1">
            <w:pPr>
              <w:pStyle w:val="TableContent"/>
              <w:jc w:val="right"/>
            </w:pPr>
            <w:r w:rsidRPr="00D42A97">
              <w:t>54</w:t>
            </w:r>
            <w:r>
              <w:t>.</w:t>
            </w:r>
            <w:r w:rsidRPr="00D42A97">
              <w:t>56</w:t>
            </w:r>
          </w:p>
        </w:tc>
      </w:tr>
      <w:tr w:rsidR="00D42A97" w:rsidRPr="00D42A97" w14:paraId="5D1E6D5C" w14:textId="03881329" w:rsidTr="00ED58C1">
        <w:trPr>
          <w:trHeight w:val="170"/>
        </w:trPr>
        <w:tc>
          <w:tcPr>
            <w:tcW w:w="2552" w:type="dxa"/>
            <w:noWrap/>
            <w:hideMark/>
          </w:tcPr>
          <w:p w14:paraId="1BC5235B" w14:textId="77777777" w:rsidR="00D42A97" w:rsidRPr="00D42A97" w:rsidRDefault="00D42A97" w:rsidP="00ED58C1">
            <w:pPr>
              <w:pStyle w:val="TableContent"/>
              <w:rPr>
                <w:lang w:val="en-ID"/>
              </w:rPr>
            </w:pPr>
            <w:r w:rsidRPr="00D42A97">
              <w:t>Calorific value</w:t>
            </w:r>
          </w:p>
        </w:tc>
        <w:tc>
          <w:tcPr>
            <w:tcW w:w="889" w:type="dxa"/>
            <w:noWrap/>
            <w:hideMark/>
          </w:tcPr>
          <w:p w14:paraId="74EA0D3B" w14:textId="57E4C2AB" w:rsidR="00D42A97" w:rsidRPr="00D42A97" w:rsidRDefault="00D42A97" w:rsidP="00ED58C1">
            <w:pPr>
              <w:pStyle w:val="TableContent"/>
              <w:jc w:val="center"/>
              <w:rPr>
                <w:lang w:val="en-ID"/>
              </w:rPr>
            </w:pPr>
            <w:r w:rsidRPr="00D42A97">
              <w:t>kcal/kg</w:t>
            </w:r>
          </w:p>
        </w:tc>
        <w:tc>
          <w:tcPr>
            <w:tcW w:w="1096" w:type="dxa"/>
            <w:noWrap/>
            <w:hideMark/>
          </w:tcPr>
          <w:p w14:paraId="520A92F5" w14:textId="6058D254" w:rsidR="00D42A97" w:rsidRPr="00D42A97" w:rsidRDefault="00D42A97" w:rsidP="00ED58C1">
            <w:pPr>
              <w:pStyle w:val="TableContent"/>
              <w:jc w:val="right"/>
              <w:rPr>
                <w:lang w:val="en-ID"/>
              </w:rPr>
            </w:pPr>
            <w:r w:rsidRPr="00D42A97">
              <w:t>5</w:t>
            </w:r>
            <w:r>
              <w:t>,</w:t>
            </w:r>
            <w:r w:rsidRPr="00D42A97">
              <w:t>688</w:t>
            </w:r>
          </w:p>
        </w:tc>
        <w:tc>
          <w:tcPr>
            <w:tcW w:w="1144" w:type="dxa"/>
            <w:noWrap/>
            <w:hideMark/>
          </w:tcPr>
          <w:p w14:paraId="7AB4AB06" w14:textId="20A807C4" w:rsidR="00D42A97" w:rsidRPr="00D42A97" w:rsidRDefault="00D42A97" w:rsidP="00ED58C1">
            <w:pPr>
              <w:pStyle w:val="TableContent"/>
              <w:jc w:val="right"/>
              <w:rPr>
                <w:lang w:val="en-ID"/>
              </w:rPr>
            </w:pPr>
            <w:r w:rsidRPr="00D42A97">
              <w:t>6</w:t>
            </w:r>
            <w:r>
              <w:t>,</w:t>
            </w:r>
            <w:r w:rsidRPr="00D42A97">
              <w:t>738</w:t>
            </w:r>
          </w:p>
        </w:tc>
        <w:tc>
          <w:tcPr>
            <w:tcW w:w="948" w:type="dxa"/>
            <w:noWrap/>
            <w:hideMark/>
          </w:tcPr>
          <w:p w14:paraId="00120636" w14:textId="271375C2" w:rsidR="00D42A97" w:rsidRPr="00D42A97" w:rsidRDefault="00D42A97" w:rsidP="00ED58C1">
            <w:pPr>
              <w:pStyle w:val="TableContent"/>
              <w:jc w:val="right"/>
              <w:rPr>
                <w:lang w:val="en-ID"/>
              </w:rPr>
            </w:pPr>
            <w:r w:rsidRPr="00D42A97">
              <w:t>7</w:t>
            </w:r>
            <w:r>
              <w:t>,</w:t>
            </w:r>
            <w:r w:rsidRPr="00D42A97">
              <w:t>298</w:t>
            </w:r>
          </w:p>
        </w:tc>
        <w:tc>
          <w:tcPr>
            <w:tcW w:w="948" w:type="dxa"/>
            <w:noWrap/>
            <w:hideMark/>
          </w:tcPr>
          <w:p w14:paraId="4E84F100" w14:textId="76250132" w:rsidR="00D42A97" w:rsidRPr="00D42A97" w:rsidRDefault="00D42A97" w:rsidP="00ED58C1">
            <w:pPr>
              <w:pStyle w:val="TableContent"/>
              <w:jc w:val="right"/>
              <w:rPr>
                <w:lang w:val="en-ID"/>
              </w:rPr>
            </w:pPr>
            <w:r w:rsidRPr="00D42A97">
              <w:t>7</w:t>
            </w:r>
            <w:r>
              <w:t>,</w:t>
            </w:r>
            <w:r w:rsidRPr="00D42A97">
              <w:t>166</w:t>
            </w:r>
          </w:p>
        </w:tc>
        <w:tc>
          <w:tcPr>
            <w:tcW w:w="928" w:type="dxa"/>
            <w:gridSpan w:val="2"/>
          </w:tcPr>
          <w:p w14:paraId="1653C91D" w14:textId="512AE9F6" w:rsidR="00D42A97" w:rsidRPr="00D42A97" w:rsidRDefault="00D42A97" w:rsidP="00ED58C1">
            <w:pPr>
              <w:pStyle w:val="TableContent"/>
              <w:jc w:val="right"/>
            </w:pPr>
            <w:r w:rsidRPr="00D42A97">
              <w:t>6</w:t>
            </w:r>
            <w:r>
              <w:t>,</w:t>
            </w:r>
            <w:r w:rsidRPr="00D42A97">
              <w:t>784</w:t>
            </w:r>
          </w:p>
        </w:tc>
      </w:tr>
      <w:tr w:rsidR="00D42A97" w:rsidRPr="00D42A97" w14:paraId="4A010534" w14:textId="2757205F" w:rsidTr="00ED58C1">
        <w:trPr>
          <w:trHeight w:val="170"/>
        </w:trPr>
        <w:tc>
          <w:tcPr>
            <w:tcW w:w="2552" w:type="dxa"/>
            <w:noWrap/>
            <w:hideMark/>
          </w:tcPr>
          <w:p w14:paraId="73563A29" w14:textId="77777777" w:rsidR="00D42A97" w:rsidRPr="00D42A97" w:rsidRDefault="00D42A97" w:rsidP="00ED58C1">
            <w:pPr>
              <w:pStyle w:val="TableContent"/>
              <w:rPr>
                <w:lang w:val="en-ID"/>
              </w:rPr>
            </w:pPr>
            <w:r w:rsidRPr="00D42A97">
              <w:t>Energy balance</w:t>
            </w:r>
          </w:p>
        </w:tc>
        <w:tc>
          <w:tcPr>
            <w:tcW w:w="889" w:type="dxa"/>
            <w:noWrap/>
            <w:hideMark/>
          </w:tcPr>
          <w:p w14:paraId="4E022BA2" w14:textId="67014023" w:rsidR="00D42A97" w:rsidRPr="00D42A97" w:rsidRDefault="00D42A97" w:rsidP="00ED58C1">
            <w:pPr>
              <w:pStyle w:val="TableContent"/>
              <w:jc w:val="center"/>
              <w:rPr>
                <w:lang w:val="en-ID"/>
              </w:rPr>
            </w:pPr>
            <w:r w:rsidRPr="00D42A97">
              <w:t>kcal</w:t>
            </w:r>
          </w:p>
        </w:tc>
        <w:tc>
          <w:tcPr>
            <w:tcW w:w="1096" w:type="dxa"/>
            <w:noWrap/>
            <w:hideMark/>
          </w:tcPr>
          <w:p w14:paraId="4450BFB1" w14:textId="6AA80BFF" w:rsidR="00D42A97" w:rsidRPr="00D42A97" w:rsidRDefault="00D42A97" w:rsidP="00ED58C1">
            <w:pPr>
              <w:pStyle w:val="TableContent"/>
              <w:jc w:val="right"/>
              <w:rPr>
                <w:lang w:val="en-ID"/>
              </w:rPr>
            </w:pPr>
            <w:r w:rsidRPr="00D42A97">
              <w:t>568</w:t>
            </w:r>
            <w:r>
              <w:t>,</w:t>
            </w:r>
            <w:r w:rsidRPr="00D42A97">
              <w:t>800</w:t>
            </w:r>
          </w:p>
        </w:tc>
        <w:tc>
          <w:tcPr>
            <w:tcW w:w="1144" w:type="dxa"/>
            <w:noWrap/>
            <w:hideMark/>
          </w:tcPr>
          <w:p w14:paraId="68D6BAF8" w14:textId="174068C9" w:rsidR="00D42A97" w:rsidRPr="00D42A97" w:rsidRDefault="00D42A97" w:rsidP="00ED58C1">
            <w:pPr>
              <w:pStyle w:val="TableContent"/>
              <w:jc w:val="right"/>
              <w:rPr>
                <w:lang w:val="en-ID"/>
              </w:rPr>
            </w:pPr>
            <w:r w:rsidRPr="00D42A97">
              <w:t>544</w:t>
            </w:r>
            <w:r>
              <w:t>,</w:t>
            </w:r>
            <w:r w:rsidRPr="00D42A97">
              <w:t>599</w:t>
            </w:r>
          </w:p>
        </w:tc>
        <w:tc>
          <w:tcPr>
            <w:tcW w:w="948" w:type="dxa"/>
            <w:noWrap/>
            <w:hideMark/>
          </w:tcPr>
          <w:p w14:paraId="10CFBBDA" w14:textId="3AAF91C2" w:rsidR="00D42A97" w:rsidRPr="00D42A97" w:rsidRDefault="00D42A97" w:rsidP="00ED58C1">
            <w:pPr>
              <w:pStyle w:val="TableContent"/>
              <w:jc w:val="right"/>
              <w:rPr>
                <w:lang w:val="en-ID"/>
              </w:rPr>
            </w:pPr>
            <w:r w:rsidRPr="00D42A97">
              <w:t>543</w:t>
            </w:r>
            <w:r>
              <w:t>,</w:t>
            </w:r>
            <w:r w:rsidRPr="00D42A97">
              <w:t>956</w:t>
            </w:r>
          </w:p>
        </w:tc>
        <w:tc>
          <w:tcPr>
            <w:tcW w:w="948" w:type="dxa"/>
            <w:noWrap/>
            <w:hideMark/>
          </w:tcPr>
          <w:p w14:paraId="0C664210" w14:textId="12DA0EC2" w:rsidR="00D42A97" w:rsidRPr="00D42A97" w:rsidRDefault="00D42A97" w:rsidP="00ED58C1">
            <w:pPr>
              <w:pStyle w:val="TableContent"/>
              <w:jc w:val="right"/>
              <w:rPr>
                <w:lang w:val="en-ID"/>
              </w:rPr>
            </w:pPr>
            <w:r w:rsidRPr="00D42A97">
              <w:t>478</w:t>
            </w:r>
            <w:r>
              <w:t>,</w:t>
            </w:r>
            <w:r w:rsidRPr="00D42A97">
              <w:t>438</w:t>
            </w:r>
          </w:p>
        </w:tc>
        <w:tc>
          <w:tcPr>
            <w:tcW w:w="928" w:type="dxa"/>
            <w:gridSpan w:val="2"/>
          </w:tcPr>
          <w:p w14:paraId="5481B740" w14:textId="6757FA9F" w:rsidR="00D42A97" w:rsidRPr="00D42A97" w:rsidRDefault="00D42A97" w:rsidP="00ED58C1">
            <w:pPr>
              <w:pStyle w:val="TableContent"/>
              <w:jc w:val="right"/>
            </w:pPr>
            <w:r w:rsidRPr="00D42A97">
              <w:t>370</w:t>
            </w:r>
            <w:r>
              <w:t>,</w:t>
            </w:r>
            <w:r w:rsidRPr="00D42A97">
              <w:t>101</w:t>
            </w:r>
          </w:p>
        </w:tc>
      </w:tr>
      <w:tr w:rsidR="00D42A97" w:rsidRPr="00D42A97" w14:paraId="20779AEF" w14:textId="0F5FEAD2" w:rsidTr="00ED58C1">
        <w:trPr>
          <w:trHeight w:val="170"/>
        </w:trPr>
        <w:tc>
          <w:tcPr>
            <w:tcW w:w="2552" w:type="dxa"/>
            <w:noWrap/>
            <w:hideMark/>
          </w:tcPr>
          <w:p w14:paraId="243167DF" w14:textId="5ED86704" w:rsidR="00D42A97" w:rsidRPr="00D42A97" w:rsidRDefault="00D42A97" w:rsidP="00ED58C1">
            <w:pPr>
              <w:pStyle w:val="TableContent"/>
              <w:rPr>
                <w:lang w:val="en-ID"/>
              </w:rPr>
            </w:pPr>
            <w:r w:rsidRPr="00D42A97">
              <w:t xml:space="preserve">Char energy content to coal </w:t>
            </w:r>
          </w:p>
        </w:tc>
        <w:tc>
          <w:tcPr>
            <w:tcW w:w="889" w:type="dxa"/>
            <w:noWrap/>
            <w:hideMark/>
          </w:tcPr>
          <w:p w14:paraId="166A9089" w14:textId="674AF673" w:rsidR="00D42A97" w:rsidRPr="00D42A97" w:rsidRDefault="00D42A97" w:rsidP="00ED58C1">
            <w:pPr>
              <w:pStyle w:val="TableContent"/>
              <w:jc w:val="center"/>
              <w:rPr>
                <w:lang w:val="en-ID"/>
              </w:rPr>
            </w:pPr>
            <w:r w:rsidRPr="00D42A97">
              <w:t>%</w:t>
            </w:r>
          </w:p>
        </w:tc>
        <w:tc>
          <w:tcPr>
            <w:tcW w:w="1096" w:type="dxa"/>
            <w:noWrap/>
            <w:hideMark/>
          </w:tcPr>
          <w:p w14:paraId="113785EE" w14:textId="6CB6CBDF" w:rsidR="00D42A97" w:rsidRPr="00D42A97" w:rsidRDefault="00D42A97" w:rsidP="00ED58C1">
            <w:pPr>
              <w:pStyle w:val="TableContent"/>
              <w:jc w:val="right"/>
              <w:rPr>
                <w:lang w:val="en-ID"/>
              </w:rPr>
            </w:pPr>
            <w:r w:rsidRPr="00D42A97">
              <w:t>100</w:t>
            </w:r>
          </w:p>
        </w:tc>
        <w:tc>
          <w:tcPr>
            <w:tcW w:w="1144" w:type="dxa"/>
            <w:noWrap/>
            <w:hideMark/>
          </w:tcPr>
          <w:p w14:paraId="1A19AABE" w14:textId="1C27F4A2" w:rsidR="00D42A97" w:rsidRPr="00D42A97" w:rsidRDefault="00D42A97" w:rsidP="00ED58C1">
            <w:pPr>
              <w:pStyle w:val="TableContent"/>
              <w:jc w:val="right"/>
            </w:pPr>
            <w:r w:rsidRPr="00D42A97">
              <w:t>95</w:t>
            </w:r>
            <w:r>
              <w:t>.</w:t>
            </w:r>
            <w:r w:rsidRPr="00D42A97">
              <w:t>7</w:t>
            </w:r>
            <w:r>
              <w:t>5</w:t>
            </w:r>
          </w:p>
        </w:tc>
        <w:tc>
          <w:tcPr>
            <w:tcW w:w="948" w:type="dxa"/>
            <w:noWrap/>
            <w:hideMark/>
          </w:tcPr>
          <w:p w14:paraId="65B8061A" w14:textId="695F2B36" w:rsidR="00D42A97" w:rsidRPr="00D42A97" w:rsidRDefault="00D42A97" w:rsidP="00ED58C1">
            <w:pPr>
              <w:pStyle w:val="TableContent"/>
              <w:jc w:val="right"/>
              <w:rPr>
                <w:lang w:val="en-ID"/>
              </w:rPr>
            </w:pPr>
            <w:r w:rsidRPr="00D42A97">
              <w:t>95</w:t>
            </w:r>
            <w:r>
              <w:t>.</w:t>
            </w:r>
            <w:r w:rsidRPr="00D42A97">
              <w:t>63</w:t>
            </w:r>
          </w:p>
        </w:tc>
        <w:tc>
          <w:tcPr>
            <w:tcW w:w="948" w:type="dxa"/>
            <w:noWrap/>
            <w:hideMark/>
          </w:tcPr>
          <w:p w14:paraId="5FCEED6F" w14:textId="63162096" w:rsidR="00D42A97" w:rsidRPr="00D42A97" w:rsidRDefault="00D42A97" w:rsidP="00ED58C1">
            <w:pPr>
              <w:pStyle w:val="TableContent"/>
              <w:jc w:val="right"/>
              <w:rPr>
                <w:lang w:val="en-ID"/>
              </w:rPr>
            </w:pPr>
            <w:r w:rsidRPr="00D42A97">
              <w:t>84</w:t>
            </w:r>
            <w:r>
              <w:t>.</w:t>
            </w:r>
            <w:r w:rsidRPr="00D42A97">
              <w:t>11</w:t>
            </w:r>
          </w:p>
        </w:tc>
        <w:tc>
          <w:tcPr>
            <w:tcW w:w="928" w:type="dxa"/>
            <w:gridSpan w:val="2"/>
          </w:tcPr>
          <w:p w14:paraId="6DC02239" w14:textId="17CFD7B0" w:rsidR="00D42A97" w:rsidRPr="00D42A97" w:rsidRDefault="00D42A97" w:rsidP="00ED58C1">
            <w:pPr>
              <w:pStyle w:val="TableContent"/>
              <w:jc w:val="right"/>
            </w:pPr>
            <w:r w:rsidRPr="00D42A97">
              <w:t>65</w:t>
            </w:r>
            <w:r>
              <w:t>.</w:t>
            </w:r>
            <w:r w:rsidRPr="00D42A97">
              <w:t>0</w:t>
            </w:r>
            <w:r>
              <w:t>7</w:t>
            </w:r>
          </w:p>
        </w:tc>
      </w:tr>
    </w:tbl>
    <w:p w14:paraId="277F93F9" w14:textId="32B28F14" w:rsidR="00F541AF" w:rsidRDefault="00F541AF" w:rsidP="00ED58C1">
      <w:pPr>
        <w:pStyle w:val="BodiText"/>
      </w:pPr>
    </w:p>
    <w:p w14:paraId="0727CEA8" w14:textId="77777777" w:rsidR="00ED58C1" w:rsidRDefault="00ED58C1" w:rsidP="00ED58C1">
      <w:pPr>
        <w:pStyle w:val="BodiText"/>
      </w:pPr>
    </w:p>
    <w:p w14:paraId="596F6263" w14:textId="1D2FB516" w:rsidR="002C431F" w:rsidRDefault="002C431F" w:rsidP="00ED58C1">
      <w:pPr>
        <w:pStyle w:val="TableTitle"/>
      </w:pPr>
      <w:r w:rsidRPr="00ED58C1">
        <w:t>Table 4. Coal B char analysis</w:t>
      </w:r>
    </w:p>
    <w:p w14:paraId="4A42CD5B" w14:textId="77777777" w:rsidR="00ED58C1" w:rsidRPr="00ED58C1" w:rsidRDefault="00ED58C1" w:rsidP="00ED58C1">
      <w:pPr>
        <w:pStyle w:val="TableTitle"/>
      </w:pPr>
    </w:p>
    <w:tbl>
      <w:tblPr>
        <w:tblW w:w="8506" w:type="dxa"/>
        <w:tblBorders>
          <w:top w:val="single" w:sz="4" w:space="0" w:color="auto"/>
          <w:bottom w:val="single" w:sz="4" w:space="0" w:color="auto"/>
        </w:tblBorders>
        <w:tblLook w:val="04A0" w:firstRow="1" w:lastRow="0" w:firstColumn="1" w:lastColumn="0" w:noHBand="0" w:noVBand="1"/>
      </w:tblPr>
      <w:tblGrid>
        <w:gridCol w:w="2552"/>
        <w:gridCol w:w="889"/>
        <w:gridCol w:w="1095"/>
        <w:gridCol w:w="1143"/>
        <w:gridCol w:w="948"/>
        <w:gridCol w:w="948"/>
        <w:gridCol w:w="931"/>
      </w:tblGrid>
      <w:tr w:rsidR="0074788B" w:rsidRPr="00ED58C1" w14:paraId="4965EDB9" w14:textId="77777777" w:rsidTr="00ED58C1">
        <w:trPr>
          <w:trHeight w:val="170"/>
        </w:trPr>
        <w:tc>
          <w:tcPr>
            <w:tcW w:w="2552" w:type="dxa"/>
            <w:vMerge w:val="restart"/>
            <w:tcBorders>
              <w:top w:val="single" w:sz="4" w:space="0" w:color="auto"/>
              <w:bottom w:val="single" w:sz="4" w:space="0" w:color="auto"/>
            </w:tcBorders>
            <w:noWrap/>
            <w:vAlign w:val="center"/>
            <w:hideMark/>
          </w:tcPr>
          <w:p w14:paraId="211E4C34" w14:textId="77777777" w:rsidR="002C431F" w:rsidRPr="00ED58C1" w:rsidRDefault="002C431F" w:rsidP="00ED58C1">
            <w:pPr>
              <w:pStyle w:val="TableContent"/>
              <w:jc w:val="center"/>
              <w:rPr>
                <w:bCs/>
                <w:lang w:val="en-ID"/>
              </w:rPr>
            </w:pPr>
            <w:r w:rsidRPr="00ED58C1">
              <w:t>Parameter</w:t>
            </w:r>
          </w:p>
        </w:tc>
        <w:tc>
          <w:tcPr>
            <w:tcW w:w="889" w:type="dxa"/>
            <w:vMerge w:val="restart"/>
            <w:tcBorders>
              <w:top w:val="single" w:sz="4" w:space="0" w:color="auto"/>
              <w:bottom w:val="single" w:sz="4" w:space="0" w:color="auto"/>
            </w:tcBorders>
            <w:noWrap/>
            <w:vAlign w:val="center"/>
            <w:hideMark/>
          </w:tcPr>
          <w:p w14:paraId="225E315F" w14:textId="77777777" w:rsidR="002C431F" w:rsidRPr="00ED58C1" w:rsidRDefault="002C431F" w:rsidP="00ED58C1">
            <w:pPr>
              <w:pStyle w:val="TableContent"/>
              <w:jc w:val="center"/>
            </w:pPr>
            <w:r w:rsidRPr="00ED58C1">
              <w:t>Unit</w:t>
            </w:r>
          </w:p>
        </w:tc>
        <w:tc>
          <w:tcPr>
            <w:tcW w:w="1095" w:type="dxa"/>
            <w:vMerge w:val="restart"/>
            <w:tcBorders>
              <w:top w:val="single" w:sz="4" w:space="0" w:color="auto"/>
              <w:bottom w:val="single" w:sz="4" w:space="0" w:color="auto"/>
            </w:tcBorders>
            <w:vAlign w:val="center"/>
            <w:hideMark/>
          </w:tcPr>
          <w:p w14:paraId="1298D21F" w14:textId="15BB4C64" w:rsidR="002C431F" w:rsidRPr="00ED58C1" w:rsidRDefault="002C431F" w:rsidP="00ED58C1">
            <w:pPr>
              <w:pStyle w:val="TableContent"/>
              <w:jc w:val="center"/>
              <w:rPr>
                <w:lang w:val="en-ID"/>
              </w:rPr>
            </w:pPr>
            <w:r w:rsidRPr="00ED58C1">
              <w:t xml:space="preserve">Coal </w:t>
            </w:r>
            <w:r w:rsidR="00CF32DB" w:rsidRPr="00ED58C1">
              <w:t>B</w:t>
            </w:r>
          </w:p>
        </w:tc>
        <w:tc>
          <w:tcPr>
            <w:tcW w:w="3039" w:type="dxa"/>
            <w:gridSpan w:val="3"/>
            <w:tcBorders>
              <w:top w:val="single" w:sz="4" w:space="0" w:color="auto"/>
              <w:bottom w:val="single" w:sz="4" w:space="0" w:color="auto"/>
            </w:tcBorders>
            <w:noWrap/>
            <w:vAlign w:val="center"/>
            <w:hideMark/>
          </w:tcPr>
          <w:p w14:paraId="0BC1A31E" w14:textId="1F5881BB" w:rsidR="002C431F" w:rsidRPr="00ED58C1" w:rsidRDefault="002C431F" w:rsidP="00ED58C1">
            <w:pPr>
              <w:pStyle w:val="TableContent"/>
              <w:jc w:val="center"/>
              <w:rPr>
                <w:lang w:val="en-ID"/>
              </w:rPr>
            </w:pPr>
            <w:r w:rsidRPr="00ED58C1">
              <w:t xml:space="preserve">Coal </w:t>
            </w:r>
            <w:r w:rsidR="00CF32DB" w:rsidRPr="00ED58C1">
              <w:t>B</w:t>
            </w:r>
            <w:r w:rsidRPr="00ED58C1">
              <w:t xml:space="preserve"> Char</w:t>
            </w:r>
          </w:p>
        </w:tc>
        <w:tc>
          <w:tcPr>
            <w:tcW w:w="931" w:type="dxa"/>
            <w:tcBorders>
              <w:top w:val="single" w:sz="4" w:space="0" w:color="auto"/>
              <w:bottom w:val="single" w:sz="4" w:space="0" w:color="auto"/>
            </w:tcBorders>
            <w:vAlign w:val="center"/>
          </w:tcPr>
          <w:p w14:paraId="1E9B5DB0" w14:textId="77777777" w:rsidR="002C431F" w:rsidRPr="00ED58C1" w:rsidRDefault="002C431F" w:rsidP="00ED58C1">
            <w:pPr>
              <w:pStyle w:val="TableContent"/>
              <w:jc w:val="center"/>
              <w:rPr>
                <w:bCs/>
              </w:rPr>
            </w:pPr>
          </w:p>
        </w:tc>
      </w:tr>
      <w:tr w:rsidR="0074788B" w:rsidRPr="00ED58C1" w14:paraId="0259CECC" w14:textId="77777777" w:rsidTr="00ED58C1">
        <w:trPr>
          <w:trHeight w:val="170"/>
        </w:trPr>
        <w:tc>
          <w:tcPr>
            <w:tcW w:w="2552" w:type="dxa"/>
            <w:vMerge/>
            <w:tcBorders>
              <w:top w:val="single" w:sz="4" w:space="0" w:color="auto"/>
              <w:bottom w:val="single" w:sz="4" w:space="0" w:color="auto"/>
            </w:tcBorders>
            <w:vAlign w:val="center"/>
            <w:hideMark/>
          </w:tcPr>
          <w:p w14:paraId="665DA24E" w14:textId="77777777" w:rsidR="002C431F" w:rsidRPr="00ED58C1" w:rsidRDefault="002C431F" w:rsidP="00ED58C1">
            <w:pPr>
              <w:pStyle w:val="TableContent"/>
              <w:jc w:val="center"/>
              <w:rPr>
                <w:bCs/>
                <w:lang w:val="en-ID"/>
              </w:rPr>
            </w:pPr>
          </w:p>
        </w:tc>
        <w:tc>
          <w:tcPr>
            <w:tcW w:w="889" w:type="dxa"/>
            <w:vMerge/>
            <w:tcBorders>
              <w:top w:val="single" w:sz="4" w:space="0" w:color="auto"/>
              <w:bottom w:val="single" w:sz="4" w:space="0" w:color="auto"/>
            </w:tcBorders>
            <w:vAlign w:val="center"/>
            <w:hideMark/>
          </w:tcPr>
          <w:p w14:paraId="31286AD8" w14:textId="77777777" w:rsidR="002C431F" w:rsidRPr="00ED58C1" w:rsidRDefault="002C431F" w:rsidP="00ED58C1">
            <w:pPr>
              <w:pStyle w:val="TableContent"/>
              <w:jc w:val="center"/>
              <w:rPr>
                <w:bCs/>
                <w:lang w:val="en-ID"/>
              </w:rPr>
            </w:pPr>
          </w:p>
        </w:tc>
        <w:tc>
          <w:tcPr>
            <w:tcW w:w="1095" w:type="dxa"/>
            <w:vMerge/>
            <w:tcBorders>
              <w:top w:val="single" w:sz="4" w:space="0" w:color="auto"/>
              <w:bottom w:val="single" w:sz="4" w:space="0" w:color="auto"/>
            </w:tcBorders>
            <w:vAlign w:val="center"/>
            <w:hideMark/>
          </w:tcPr>
          <w:p w14:paraId="7697B882" w14:textId="77777777" w:rsidR="002C431F" w:rsidRPr="00ED58C1" w:rsidRDefault="002C431F" w:rsidP="00ED58C1">
            <w:pPr>
              <w:pStyle w:val="TableContent"/>
              <w:jc w:val="center"/>
              <w:rPr>
                <w:bCs/>
                <w:lang w:val="en-ID"/>
              </w:rPr>
            </w:pPr>
          </w:p>
        </w:tc>
        <w:tc>
          <w:tcPr>
            <w:tcW w:w="1143" w:type="dxa"/>
            <w:tcBorders>
              <w:top w:val="single" w:sz="4" w:space="0" w:color="auto"/>
              <w:bottom w:val="single" w:sz="4" w:space="0" w:color="auto"/>
            </w:tcBorders>
            <w:noWrap/>
            <w:vAlign w:val="center"/>
            <w:hideMark/>
          </w:tcPr>
          <w:p w14:paraId="358E3D7A" w14:textId="77777777" w:rsidR="002C431F" w:rsidRPr="00ED58C1" w:rsidRDefault="002C431F" w:rsidP="00ED58C1">
            <w:pPr>
              <w:pStyle w:val="TableContent"/>
              <w:jc w:val="center"/>
              <w:rPr>
                <w:bCs/>
                <w:lang w:val="en-ID"/>
              </w:rPr>
            </w:pPr>
            <w:r w:rsidRPr="00ED58C1">
              <w:rPr>
                <w:bCs/>
              </w:rPr>
              <w:t>500°C</w:t>
            </w:r>
          </w:p>
        </w:tc>
        <w:tc>
          <w:tcPr>
            <w:tcW w:w="948" w:type="dxa"/>
            <w:tcBorders>
              <w:top w:val="single" w:sz="4" w:space="0" w:color="auto"/>
              <w:bottom w:val="single" w:sz="4" w:space="0" w:color="auto"/>
            </w:tcBorders>
            <w:noWrap/>
            <w:vAlign w:val="center"/>
            <w:hideMark/>
          </w:tcPr>
          <w:p w14:paraId="2CD93AAD" w14:textId="77777777" w:rsidR="002C431F" w:rsidRPr="00ED58C1" w:rsidRDefault="002C431F" w:rsidP="00ED58C1">
            <w:pPr>
              <w:pStyle w:val="TableContent"/>
              <w:jc w:val="center"/>
              <w:rPr>
                <w:bCs/>
                <w:lang w:val="en-ID"/>
              </w:rPr>
            </w:pPr>
            <w:r w:rsidRPr="00ED58C1">
              <w:rPr>
                <w:bCs/>
              </w:rPr>
              <w:t>600°C</w:t>
            </w:r>
          </w:p>
        </w:tc>
        <w:tc>
          <w:tcPr>
            <w:tcW w:w="948" w:type="dxa"/>
            <w:tcBorders>
              <w:top w:val="single" w:sz="4" w:space="0" w:color="auto"/>
              <w:bottom w:val="single" w:sz="4" w:space="0" w:color="auto"/>
            </w:tcBorders>
            <w:noWrap/>
            <w:vAlign w:val="center"/>
            <w:hideMark/>
          </w:tcPr>
          <w:p w14:paraId="24ACD205" w14:textId="77777777" w:rsidR="002C431F" w:rsidRPr="00ED58C1" w:rsidRDefault="002C431F" w:rsidP="00ED58C1">
            <w:pPr>
              <w:pStyle w:val="TableContent"/>
              <w:jc w:val="center"/>
              <w:rPr>
                <w:bCs/>
                <w:lang w:val="en-ID"/>
              </w:rPr>
            </w:pPr>
            <w:r w:rsidRPr="00ED58C1">
              <w:rPr>
                <w:bCs/>
              </w:rPr>
              <w:t>700°C</w:t>
            </w:r>
          </w:p>
        </w:tc>
        <w:tc>
          <w:tcPr>
            <w:tcW w:w="931" w:type="dxa"/>
            <w:tcBorders>
              <w:top w:val="single" w:sz="4" w:space="0" w:color="auto"/>
              <w:bottom w:val="single" w:sz="4" w:space="0" w:color="auto"/>
            </w:tcBorders>
            <w:vAlign w:val="center"/>
          </w:tcPr>
          <w:p w14:paraId="1501D51F" w14:textId="77777777" w:rsidR="002C431F" w:rsidRPr="00ED58C1" w:rsidRDefault="002C431F" w:rsidP="00ED58C1">
            <w:pPr>
              <w:pStyle w:val="TableContent"/>
              <w:jc w:val="center"/>
              <w:rPr>
                <w:bCs/>
              </w:rPr>
            </w:pPr>
            <w:r w:rsidRPr="00ED58C1">
              <w:rPr>
                <w:bCs/>
              </w:rPr>
              <w:t>800°C</w:t>
            </w:r>
          </w:p>
        </w:tc>
      </w:tr>
      <w:tr w:rsidR="0074788B" w:rsidRPr="0074788B" w14:paraId="237F85C2" w14:textId="77777777" w:rsidTr="00ED58C1">
        <w:trPr>
          <w:trHeight w:val="170"/>
        </w:trPr>
        <w:tc>
          <w:tcPr>
            <w:tcW w:w="2552" w:type="dxa"/>
            <w:tcBorders>
              <w:top w:val="single" w:sz="4" w:space="0" w:color="auto"/>
            </w:tcBorders>
            <w:noWrap/>
            <w:hideMark/>
          </w:tcPr>
          <w:p w14:paraId="4A5F14FE" w14:textId="77777777" w:rsidR="0074788B" w:rsidRPr="0074788B" w:rsidRDefault="0074788B" w:rsidP="00ED58C1">
            <w:pPr>
              <w:pStyle w:val="TableContent"/>
              <w:rPr>
                <w:lang w:val="en-ID"/>
              </w:rPr>
            </w:pPr>
            <w:r w:rsidRPr="0074788B">
              <w:t>Weight</w:t>
            </w:r>
          </w:p>
        </w:tc>
        <w:tc>
          <w:tcPr>
            <w:tcW w:w="889" w:type="dxa"/>
            <w:tcBorders>
              <w:top w:val="single" w:sz="4" w:space="0" w:color="auto"/>
            </w:tcBorders>
            <w:noWrap/>
            <w:hideMark/>
          </w:tcPr>
          <w:p w14:paraId="3CB5268C" w14:textId="77777777" w:rsidR="0074788B" w:rsidRPr="0074788B" w:rsidRDefault="0074788B" w:rsidP="00ED58C1">
            <w:pPr>
              <w:pStyle w:val="TableContent"/>
              <w:jc w:val="center"/>
              <w:rPr>
                <w:lang w:val="en-ID"/>
              </w:rPr>
            </w:pPr>
            <w:r w:rsidRPr="0074788B">
              <w:t>%</w:t>
            </w:r>
          </w:p>
        </w:tc>
        <w:tc>
          <w:tcPr>
            <w:tcW w:w="1095" w:type="dxa"/>
            <w:tcBorders>
              <w:top w:val="single" w:sz="4" w:space="0" w:color="auto"/>
            </w:tcBorders>
            <w:noWrap/>
            <w:hideMark/>
          </w:tcPr>
          <w:p w14:paraId="0C94A446" w14:textId="1AA992C5" w:rsidR="0074788B" w:rsidRPr="0074788B" w:rsidRDefault="0074788B" w:rsidP="00ED58C1">
            <w:pPr>
              <w:pStyle w:val="TableContent"/>
              <w:jc w:val="right"/>
              <w:rPr>
                <w:lang w:val="en-ID"/>
              </w:rPr>
            </w:pPr>
            <w:r w:rsidRPr="0074788B">
              <w:t>100</w:t>
            </w:r>
          </w:p>
        </w:tc>
        <w:tc>
          <w:tcPr>
            <w:tcW w:w="1143" w:type="dxa"/>
            <w:tcBorders>
              <w:top w:val="single" w:sz="4" w:space="0" w:color="auto"/>
            </w:tcBorders>
            <w:noWrap/>
            <w:hideMark/>
          </w:tcPr>
          <w:p w14:paraId="3D6EDBFC" w14:textId="12A165A1" w:rsidR="0074788B" w:rsidRPr="0074788B" w:rsidRDefault="0074788B" w:rsidP="00ED58C1">
            <w:pPr>
              <w:pStyle w:val="TableContent"/>
              <w:jc w:val="right"/>
              <w:rPr>
                <w:lang w:val="en-ID"/>
              </w:rPr>
            </w:pPr>
            <w:r w:rsidRPr="0074788B">
              <w:t>77</w:t>
            </w:r>
            <w:r>
              <w:t>.</w:t>
            </w:r>
            <w:r w:rsidRPr="0074788B">
              <w:t>07</w:t>
            </w:r>
          </w:p>
        </w:tc>
        <w:tc>
          <w:tcPr>
            <w:tcW w:w="948" w:type="dxa"/>
            <w:tcBorders>
              <w:top w:val="single" w:sz="4" w:space="0" w:color="auto"/>
            </w:tcBorders>
            <w:noWrap/>
            <w:hideMark/>
          </w:tcPr>
          <w:p w14:paraId="60FA221E" w14:textId="158F027A" w:rsidR="0074788B" w:rsidRPr="0074788B" w:rsidRDefault="0074788B" w:rsidP="00ED58C1">
            <w:pPr>
              <w:pStyle w:val="TableContent"/>
              <w:jc w:val="right"/>
              <w:rPr>
                <w:lang w:val="en-ID"/>
              </w:rPr>
            </w:pPr>
            <w:r w:rsidRPr="0074788B">
              <w:t>66</w:t>
            </w:r>
            <w:r>
              <w:t>.</w:t>
            </w:r>
            <w:r w:rsidRPr="0074788B">
              <w:t>71</w:t>
            </w:r>
          </w:p>
        </w:tc>
        <w:tc>
          <w:tcPr>
            <w:tcW w:w="948" w:type="dxa"/>
            <w:tcBorders>
              <w:top w:val="single" w:sz="4" w:space="0" w:color="auto"/>
            </w:tcBorders>
            <w:noWrap/>
            <w:hideMark/>
          </w:tcPr>
          <w:p w14:paraId="76FBD55A" w14:textId="12341976" w:rsidR="0074788B" w:rsidRPr="0074788B" w:rsidRDefault="0074788B" w:rsidP="00ED58C1">
            <w:pPr>
              <w:pStyle w:val="TableContent"/>
              <w:jc w:val="right"/>
              <w:rPr>
                <w:lang w:val="en-ID"/>
              </w:rPr>
            </w:pPr>
            <w:r w:rsidRPr="0074788B">
              <w:t>65</w:t>
            </w:r>
            <w:r>
              <w:t>.</w:t>
            </w:r>
            <w:r w:rsidRPr="0074788B">
              <w:t>39</w:t>
            </w:r>
          </w:p>
        </w:tc>
        <w:tc>
          <w:tcPr>
            <w:tcW w:w="931" w:type="dxa"/>
            <w:tcBorders>
              <w:top w:val="single" w:sz="4" w:space="0" w:color="auto"/>
            </w:tcBorders>
          </w:tcPr>
          <w:p w14:paraId="3634D296" w14:textId="600F1C82" w:rsidR="0074788B" w:rsidRPr="0074788B" w:rsidRDefault="0074788B" w:rsidP="00ED58C1">
            <w:pPr>
              <w:pStyle w:val="TableContent"/>
              <w:jc w:val="right"/>
            </w:pPr>
            <w:r w:rsidRPr="0074788B">
              <w:t>54</w:t>
            </w:r>
            <w:r>
              <w:t>.</w:t>
            </w:r>
            <w:r w:rsidRPr="0074788B">
              <w:t>56</w:t>
            </w:r>
          </w:p>
        </w:tc>
      </w:tr>
      <w:tr w:rsidR="0074788B" w:rsidRPr="0074788B" w14:paraId="60BF0CAC" w14:textId="77777777" w:rsidTr="00ED58C1">
        <w:trPr>
          <w:trHeight w:val="170"/>
        </w:trPr>
        <w:tc>
          <w:tcPr>
            <w:tcW w:w="2552" w:type="dxa"/>
            <w:noWrap/>
            <w:hideMark/>
          </w:tcPr>
          <w:p w14:paraId="6E3B1EF8" w14:textId="77777777" w:rsidR="0074788B" w:rsidRPr="0074788B" w:rsidRDefault="0074788B" w:rsidP="00ED58C1">
            <w:pPr>
              <w:pStyle w:val="TableContent"/>
              <w:rPr>
                <w:lang w:val="en-ID"/>
              </w:rPr>
            </w:pPr>
            <w:r w:rsidRPr="0074788B">
              <w:t>Calorific value</w:t>
            </w:r>
          </w:p>
        </w:tc>
        <w:tc>
          <w:tcPr>
            <w:tcW w:w="889" w:type="dxa"/>
            <w:noWrap/>
            <w:hideMark/>
          </w:tcPr>
          <w:p w14:paraId="6D1FF279" w14:textId="77777777" w:rsidR="0074788B" w:rsidRPr="0074788B" w:rsidRDefault="0074788B" w:rsidP="00ED58C1">
            <w:pPr>
              <w:pStyle w:val="TableContent"/>
              <w:jc w:val="center"/>
              <w:rPr>
                <w:lang w:val="en-ID"/>
              </w:rPr>
            </w:pPr>
            <w:r w:rsidRPr="0074788B">
              <w:t>kcal/kg</w:t>
            </w:r>
          </w:p>
        </w:tc>
        <w:tc>
          <w:tcPr>
            <w:tcW w:w="1095" w:type="dxa"/>
            <w:noWrap/>
            <w:hideMark/>
          </w:tcPr>
          <w:p w14:paraId="7DA5F8D3" w14:textId="3F088065" w:rsidR="0074788B" w:rsidRPr="0074788B" w:rsidRDefault="0074788B" w:rsidP="00ED58C1">
            <w:pPr>
              <w:pStyle w:val="TableContent"/>
              <w:jc w:val="right"/>
              <w:rPr>
                <w:lang w:val="en-ID"/>
              </w:rPr>
            </w:pPr>
            <w:r w:rsidRPr="0074788B">
              <w:t>5</w:t>
            </w:r>
            <w:r>
              <w:t>,</w:t>
            </w:r>
            <w:r w:rsidRPr="0074788B">
              <w:t>498</w:t>
            </w:r>
          </w:p>
        </w:tc>
        <w:tc>
          <w:tcPr>
            <w:tcW w:w="1143" w:type="dxa"/>
            <w:noWrap/>
            <w:hideMark/>
          </w:tcPr>
          <w:p w14:paraId="6347B401" w14:textId="5C9EA495" w:rsidR="0074788B" w:rsidRPr="0074788B" w:rsidRDefault="0074788B" w:rsidP="00ED58C1">
            <w:pPr>
              <w:pStyle w:val="TableContent"/>
              <w:jc w:val="right"/>
              <w:rPr>
                <w:lang w:val="en-ID"/>
              </w:rPr>
            </w:pPr>
            <w:r w:rsidRPr="0074788B">
              <w:t>6</w:t>
            </w:r>
            <w:r>
              <w:t>,</w:t>
            </w:r>
            <w:r w:rsidRPr="0074788B">
              <w:t>591</w:t>
            </w:r>
          </w:p>
        </w:tc>
        <w:tc>
          <w:tcPr>
            <w:tcW w:w="948" w:type="dxa"/>
            <w:noWrap/>
            <w:hideMark/>
          </w:tcPr>
          <w:p w14:paraId="50D18638" w14:textId="64190F74" w:rsidR="0074788B" w:rsidRPr="0074788B" w:rsidRDefault="0074788B" w:rsidP="00ED58C1">
            <w:pPr>
              <w:pStyle w:val="TableContent"/>
              <w:jc w:val="right"/>
              <w:rPr>
                <w:lang w:val="en-ID"/>
              </w:rPr>
            </w:pPr>
            <w:r w:rsidRPr="0074788B">
              <w:t>7</w:t>
            </w:r>
            <w:r>
              <w:t>,</w:t>
            </w:r>
            <w:r w:rsidRPr="0074788B">
              <w:t>098</w:t>
            </w:r>
          </w:p>
        </w:tc>
        <w:tc>
          <w:tcPr>
            <w:tcW w:w="948" w:type="dxa"/>
            <w:noWrap/>
            <w:hideMark/>
          </w:tcPr>
          <w:p w14:paraId="1116F5DA" w14:textId="3C25540B" w:rsidR="0074788B" w:rsidRPr="0074788B" w:rsidRDefault="0074788B" w:rsidP="00ED58C1">
            <w:pPr>
              <w:pStyle w:val="TableContent"/>
              <w:jc w:val="right"/>
              <w:rPr>
                <w:lang w:val="en-ID"/>
              </w:rPr>
            </w:pPr>
            <w:r w:rsidRPr="0074788B">
              <w:t>7</w:t>
            </w:r>
            <w:r>
              <w:t>,</w:t>
            </w:r>
            <w:r w:rsidRPr="0074788B">
              <w:t>116</w:t>
            </w:r>
          </w:p>
        </w:tc>
        <w:tc>
          <w:tcPr>
            <w:tcW w:w="931" w:type="dxa"/>
          </w:tcPr>
          <w:p w14:paraId="38E26810" w14:textId="0AC078DE" w:rsidR="0074788B" w:rsidRPr="0074788B" w:rsidRDefault="0074788B" w:rsidP="00ED58C1">
            <w:pPr>
              <w:pStyle w:val="TableContent"/>
              <w:jc w:val="right"/>
            </w:pPr>
            <w:r w:rsidRPr="0074788B">
              <w:t>6</w:t>
            </w:r>
            <w:r>
              <w:t>,</w:t>
            </w:r>
            <w:r w:rsidRPr="0074788B">
              <w:t>738</w:t>
            </w:r>
          </w:p>
        </w:tc>
      </w:tr>
      <w:tr w:rsidR="0074788B" w:rsidRPr="0074788B" w14:paraId="3D9B4150" w14:textId="77777777" w:rsidTr="00ED58C1">
        <w:trPr>
          <w:trHeight w:val="170"/>
        </w:trPr>
        <w:tc>
          <w:tcPr>
            <w:tcW w:w="2552" w:type="dxa"/>
            <w:noWrap/>
            <w:hideMark/>
          </w:tcPr>
          <w:p w14:paraId="1C55FAAD" w14:textId="77777777" w:rsidR="0074788B" w:rsidRPr="0074788B" w:rsidRDefault="0074788B" w:rsidP="00ED58C1">
            <w:pPr>
              <w:pStyle w:val="TableContent"/>
              <w:rPr>
                <w:lang w:val="en-ID"/>
              </w:rPr>
            </w:pPr>
            <w:r w:rsidRPr="0074788B">
              <w:t>Energy balance</w:t>
            </w:r>
          </w:p>
        </w:tc>
        <w:tc>
          <w:tcPr>
            <w:tcW w:w="889" w:type="dxa"/>
            <w:noWrap/>
            <w:hideMark/>
          </w:tcPr>
          <w:p w14:paraId="297E90AC" w14:textId="77777777" w:rsidR="0074788B" w:rsidRPr="0074788B" w:rsidRDefault="0074788B" w:rsidP="00ED58C1">
            <w:pPr>
              <w:pStyle w:val="TableContent"/>
              <w:jc w:val="center"/>
              <w:rPr>
                <w:lang w:val="en-ID"/>
              </w:rPr>
            </w:pPr>
            <w:r w:rsidRPr="0074788B">
              <w:t>kcal</w:t>
            </w:r>
          </w:p>
        </w:tc>
        <w:tc>
          <w:tcPr>
            <w:tcW w:w="1095" w:type="dxa"/>
            <w:noWrap/>
            <w:hideMark/>
          </w:tcPr>
          <w:p w14:paraId="7780D772" w14:textId="5D9600F4" w:rsidR="0074788B" w:rsidRPr="0074788B" w:rsidRDefault="0074788B" w:rsidP="00ED58C1">
            <w:pPr>
              <w:pStyle w:val="TableContent"/>
              <w:jc w:val="right"/>
              <w:rPr>
                <w:lang w:val="en-ID"/>
              </w:rPr>
            </w:pPr>
            <w:r w:rsidRPr="0074788B">
              <w:t>549</w:t>
            </w:r>
            <w:r>
              <w:t>,</w:t>
            </w:r>
            <w:r w:rsidRPr="0074788B">
              <w:t>800</w:t>
            </w:r>
          </w:p>
        </w:tc>
        <w:tc>
          <w:tcPr>
            <w:tcW w:w="1143" w:type="dxa"/>
            <w:noWrap/>
            <w:hideMark/>
          </w:tcPr>
          <w:p w14:paraId="24D61CC3" w14:textId="0C666D68" w:rsidR="0074788B" w:rsidRPr="0074788B" w:rsidRDefault="0074788B" w:rsidP="00ED58C1">
            <w:pPr>
              <w:pStyle w:val="TableContent"/>
              <w:jc w:val="right"/>
              <w:rPr>
                <w:lang w:val="en-ID"/>
              </w:rPr>
            </w:pPr>
            <w:r w:rsidRPr="0074788B">
              <w:t>507</w:t>
            </w:r>
            <w:r>
              <w:t>,</w:t>
            </w:r>
            <w:r w:rsidRPr="0074788B">
              <w:t>968</w:t>
            </w:r>
          </w:p>
        </w:tc>
        <w:tc>
          <w:tcPr>
            <w:tcW w:w="948" w:type="dxa"/>
            <w:noWrap/>
            <w:hideMark/>
          </w:tcPr>
          <w:p w14:paraId="451A317E" w14:textId="587628D9" w:rsidR="0074788B" w:rsidRPr="0074788B" w:rsidRDefault="0074788B" w:rsidP="00ED58C1">
            <w:pPr>
              <w:pStyle w:val="TableContent"/>
              <w:jc w:val="right"/>
              <w:rPr>
                <w:lang w:val="en-ID"/>
              </w:rPr>
            </w:pPr>
            <w:r w:rsidRPr="0074788B">
              <w:t>473</w:t>
            </w:r>
            <w:r>
              <w:t>,</w:t>
            </w:r>
            <w:r w:rsidRPr="0074788B">
              <w:t>508</w:t>
            </w:r>
          </w:p>
        </w:tc>
        <w:tc>
          <w:tcPr>
            <w:tcW w:w="948" w:type="dxa"/>
            <w:noWrap/>
            <w:hideMark/>
          </w:tcPr>
          <w:p w14:paraId="18E981A6" w14:textId="434433B8" w:rsidR="0074788B" w:rsidRPr="0074788B" w:rsidRDefault="0074788B" w:rsidP="00ED58C1">
            <w:pPr>
              <w:pStyle w:val="TableContent"/>
              <w:jc w:val="right"/>
              <w:rPr>
                <w:lang w:val="en-ID"/>
              </w:rPr>
            </w:pPr>
            <w:r w:rsidRPr="0074788B">
              <w:t>465</w:t>
            </w:r>
            <w:r>
              <w:t>,</w:t>
            </w:r>
            <w:r w:rsidRPr="0074788B">
              <w:t>280</w:t>
            </w:r>
          </w:p>
        </w:tc>
        <w:tc>
          <w:tcPr>
            <w:tcW w:w="931" w:type="dxa"/>
          </w:tcPr>
          <w:p w14:paraId="511F6CBC" w14:textId="309B4C0A" w:rsidR="0074788B" w:rsidRPr="0074788B" w:rsidRDefault="0074788B" w:rsidP="00ED58C1">
            <w:pPr>
              <w:pStyle w:val="TableContent"/>
              <w:jc w:val="right"/>
            </w:pPr>
            <w:r w:rsidRPr="0074788B">
              <w:t>367</w:t>
            </w:r>
            <w:r>
              <w:t>,</w:t>
            </w:r>
            <w:r w:rsidRPr="0074788B">
              <w:t>592</w:t>
            </w:r>
          </w:p>
        </w:tc>
      </w:tr>
      <w:tr w:rsidR="0074788B" w:rsidRPr="0074788B" w14:paraId="5BAA04A9" w14:textId="77777777" w:rsidTr="00ED58C1">
        <w:trPr>
          <w:trHeight w:val="170"/>
        </w:trPr>
        <w:tc>
          <w:tcPr>
            <w:tcW w:w="2552" w:type="dxa"/>
            <w:noWrap/>
            <w:hideMark/>
          </w:tcPr>
          <w:p w14:paraId="08256BD0" w14:textId="77777777" w:rsidR="0074788B" w:rsidRPr="0074788B" w:rsidRDefault="0074788B" w:rsidP="00ED58C1">
            <w:pPr>
              <w:pStyle w:val="TableContent"/>
              <w:rPr>
                <w:lang w:val="en-ID"/>
              </w:rPr>
            </w:pPr>
            <w:r w:rsidRPr="0074788B">
              <w:t xml:space="preserve">Char energy content to coal </w:t>
            </w:r>
          </w:p>
        </w:tc>
        <w:tc>
          <w:tcPr>
            <w:tcW w:w="889" w:type="dxa"/>
            <w:noWrap/>
            <w:hideMark/>
          </w:tcPr>
          <w:p w14:paraId="1EA5C48F" w14:textId="77777777" w:rsidR="0074788B" w:rsidRPr="0074788B" w:rsidRDefault="0074788B" w:rsidP="00ED58C1">
            <w:pPr>
              <w:pStyle w:val="TableContent"/>
              <w:jc w:val="center"/>
              <w:rPr>
                <w:lang w:val="en-ID"/>
              </w:rPr>
            </w:pPr>
            <w:r w:rsidRPr="0074788B">
              <w:t>%</w:t>
            </w:r>
          </w:p>
        </w:tc>
        <w:tc>
          <w:tcPr>
            <w:tcW w:w="1095" w:type="dxa"/>
            <w:noWrap/>
            <w:hideMark/>
          </w:tcPr>
          <w:p w14:paraId="58726C0D" w14:textId="1DF9E6D9" w:rsidR="0074788B" w:rsidRPr="0074788B" w:rsidRDefault="0074788B" w:rsidP="00ED58C1">
            <w:pPr>
              <w:pStyle w:val="TableContent"/>
              <w:jc w:val="right"/>
              <w:rPr>
                <w:lang w:val="en-ID"/>
              </w:rPr>
            </w:pPr>
            <w:r w:rsidRPr="0074788B">
              <w:t>100</w:t>
            </w:r>
          </w:p>
        </w:tc>
        <w:tc>
          <w:tcPr>
            <w:tcW w:w="1143" w:type="dxa"/>
            <w:noWrap/>
            <w:hideMark/>
          </w:tcPr>
          <w:p w14:paraId="38A82137" w14:textId="292F0B48" w:rsidR="0074788B" w:rsidRPr="0074788B" w:rsidRDefault="0074788B" w:rsidP="00ED58C1">
            <w:pPr>
              <w:pStyle w:val="TableContent"/>
              <w:jc w:val="right"/>
            </w:pPr>
            <w:r w:rsidRPr="0074788B">
              <w:t>92</w:t>
            </w:r>
            <w:r>
              <w:t>.</w:t>
            </w:r>
            <w:r w:rsidRPr="0074788B">
              <w:t>39</w:t>
            </w:r>
          </w:p>
        </w:tc>
        <w:tc>
          <w:tcPr>
            <w:tcW w:w="948" w:type="dxa"/>
            <w:noWrap/>
            <w:hideMark/>
          </w:tcPr>
          <w:p w14:paraId="250F0370" w14:textId="13279813" w:rsidR="0074788B" w:rsidRPr="0074788B" w:rsidRDefault="0074788B" w:rsidP="00ED58C1">
            <w:pPr>
              <w:pStyle w:val="TableContent"/>
              <w:jc w:val="right"/>
              <w:rPr>
                <w:lang w:val="en-ID"/>
              </w:rPr>
            </w:pPr>
            <w:r w:rsidRPr="0074788B">
              <w:t>86</w:t>
            </w:r>
            <w:r>
              <w:t>.</w:t>
            </w:r>
            <w:r w:rsidRPr="0074788B">
              <w:t>12</w:t>
            </w:r>
          </w:p>
        </w:tc>
        <w:tc>
          <w:tcPr>
            <w:tcW w:w="948" w:type="dxa"/>
            <w:noWrap/>
            <w:hideMark/>
          </w:tcPr>
          <w:p w14:paraId="4C03ABF7" w14:textId="3A3817B1" w:rsidR="0074788B" w:rsidRPr="0074788B" w:rsidRDefault="0074788B" w:rsidP="00ED58C1">
            <w:pPr>
              <w:pStyle w:val="TableContent"/>
              <w:jc w:val="right"/>
            </w:pPr>
            <w:r w:rsidRPr="0074788B">
              <w:t>84</w:t>
            </w:r>
            <w:r>
              <w:t>.</w:t>
            </w:r>
            <w:r w:rsidRPr="0074788B">
              <w:t>6</w:t>
            </w:r>
            <w:r>
              <w:t>3</w:t>
            </w:r>
          </w:p>
        </w:tc>
        <w:tc>
          <w:tcPr>
            <w:tcW w:w="931" w:type="dxa"/>
          </w:tcPr>
          <w:p w14:paraId="43E8F91F" w14:textId="231F2E29" w:rsidR="0074788B" w:rsidRPr="0074788B" w:rsidRDefault="0074788B" w:rsidP="00ED58C1">
            <w:pPr>
              <w:pStyle w:val="TableContent"/>
              <w:jc w:val="right"/>
            </w:pPr>
            <w:r w:rsidRPr="0074788B">
              <w:t>66</w:t>
            </w:r>
            <w:r>
              <w:t>.</w:t>
            </w:r>
            <w:r w:rsidRPr="0074788B">
              <w:t>8</w:t>
            </w:r>
            <w:r>
              <w:t>6</w:t>
            </w:r>
          </w:p>
        </w:tc>
      </w:tr>
    </w:tbl>
    <w:p w14:paraId="24819E8A" w14:textId="77777777" w:rsidR="002C431F" w:rsidRPr="009D6EE5" w:rsidRDefault="002C431F" w:rsidP="00ED58C1">
      <w:pPr>
        <w:pStyle w:val="BodiText"/>
      </w:pPr>
    </w:p>
    <w:p w14:paraId="09533D9D" w14:textId="77777777" w:rsidR="002C431F" w:rsidRPr="009D6EE5" w:rsidRDefault="002C431F" w:rsidP="00ED58C1">
      <w:pPr>
        <w:pStyle w:val="BodiText"/>
      </w:pPr>
    </w:p>
    <w:p w14:paraId="3F060A55" w14:textId="77777777" w:rsidR="00FF55BB" w:rsidRDefault="00FF55BB" w:rsidP="00ED58C1">
      <w:pPr>
        <w:pStyle w:val="ChapterTitle"/>
        <w:sectPr w:rsidR="00FF55BB" w:rsidSect="000C7C0D">
          <w:type w:val="continuous"/>
          <w:pgSz w:w="11906" w:h="16838" w:code="9"/>
          <w:pgMar w:top="1701" w:right="1701" w:bottom="1701" w:left="1701" w:header="0" w:footer="0" w:gutter="0"/>
          <w:cols w:space="708"/>
          <w:docGrid w:linePitch="360"/>
        </w:sectPr>
      </w:pPr>
    </w:p>
    <w:p w14:paraId="21DF9754" w14:textId="47DA42D6" w:rsidR="00025A7C" w:rsidRPr="009D6EE5" w:rsidRDefault="009C5F66" w:rsidP="00ED58C1">
      <w:pPr>
        <w:pStyle w:val="ChapterTitle"/>
      </w:pPr>
      <w:r w:rsidRPr="009D6EE5">
        <w:lastRenderedPageBreak/>
        <w:t>Acknowledgments</w:t>
      </w:r>
    </w:p>
    <w:p w14:paraId="1B42DA45" w14:textId="77777777" w:rsidR="00E34B6F" w:rsidRPr="009D6EE5" w:rsidRDefault="00E34B6F" w:rsidP="00ED58C1">
      <w:pPr>
        <w:pStyle w:val="BodiText"/>
      </w:pPr>
    </w:p>
    <w:p w14:paraId="19BD4450" w14:textId="55DE8475" w:rsidR="00025A7C" w:rsidRPr="009D6EE5" w:rsidRDefault="00CF11B7" w:rsidP="00ED58C1">
      <w:pPr>
        <w:pStyle w:val="BodiText"/>
      </w:pPr>
      <w:r w:rsidRPr="009D6EE5">
        <w:t xml:space="preserve">We would like to </w:t>
      </w:r>
      <w:r w:rsidR="00FE684F" w:rsidRPr="009D6EE5">
        <w:t>thank the R&amp;D Centre for Mineral and Coal Technology (</w:t>
      </w:r>
      <w:proofErr w:type="spellStart"/>
      <w:r w:rsidR="00FE684F" w:rsidRPr="00A31DE2">
        <w:rPr>
          <w:i/>
        </w:rPr>
        <w:t>tek</w:t>
      </w:r>
      <w:r w:rsidR="00FE684F" w:rsidRPr="009D6EE5">
        <w:t>MIRA</w:t>
      </w:r>
      <w:proofErr w:type="spellEnd"/>
      <w:r w:rsidR="00FE684F" w:rsidRPr="009D6EE5">
        <w:t xml:space="preserve">) </w:t>
      </w:r>
      <w:r w:rsidR="0034265F">
        <w:t xml:space="preserve">of </w:t>
      </w:r>
      <w:r w:rsidR="00FE684F" w:rsidRPr="009D6EE5">
        <w:t xml:space="preserve">Ministry of Energy and Mineral Resources </w:t>
      </w:r>
      <w:r w:rsidR="0034265F">
        <w:t xml:space="preserve">of Indonesia </w:t>
      </w:r>
      <w:r w:rsidR="00FE684F" w:rsidRPr="009D6EE5">
        <w:t>who has funded this research.</w:t>
      </w:r>
      <w:r w:rsidR="00025A7C" w:rsidRPr="009D6EE5">
        <w:t xml:space="preserve"> </w:t>
      </w:r>
    </w:p>
    <w:p w14:paraId="0CF27FE4" w14:textId="77777777" w:rsidR="00025A7C" w:rsidRPr="009D6EE5" w:rsidRDefault="00025A7C" w:rsidP="00ED58C1">
      <w:pPr>
        <w:pStyle w:val="BodiText"/>
      </w:pPr>
    </w:p>
    <w:p w14:paraId="24BABC67" w14:textId="184E358D" w:rsidR="006C65FD" w:rsidRPr="009D6EE5" w:rsidRDefault="006C65FD" w:rsidP="00ED58C1">
      <w:pPr>
        <w:pStyle w:val="BodiText"/>
        <w:rPr>
          <w:b/>
        </w:rPr>
      </w:pPr>
    </w:p>
    <w:p w14:paraId="63BA5951" w14:textId="67B4F8D4" w:rsidR="00025A7C" w:rsidRPr="009D6EE5" w:rsidRDefault="009C5F66" w:rsidP="00ED58C1">
      <w:pPr>
        <w:pStyle w:val="ChapterTitle"/>
      </w:pPr>
      <w:r w:rsidRPr="009D6EE5">
        <w:t>References</w:t>
      </w:r>
    </w:p>
    <w:p w14:paraId="627955A2" w14:textId="63D7189E" w:rsidR="00E34B6F" w:rsidRPr="009D6EE5" w:rsidRDefault="00E34B6F" w:rsidP="00ED58C1">
      <w:pPr>
        <w:pStyle w:val="BodiText"/>
      </w:pPr>
    </w:p>
    <w:p w14:paraId="022D1271" w14:textId="77777777" w:rsidR="0077372C" w:rsidRDefault="0077372C" w:rsidP="0077372C">
      <w:pPr>
        <w:pStyle w:val="Reference"/>
      </w:pPr>
      <w:r w:rsidRPr="00BE0B54">
        <w:t>Al-</w:t>
      </w:r>
      <w:proofErr w:type="spellStart"/>
      <w:r w:rsidRPr="00BE0B54">
        <w:t>Wabel</w:t>
      </w:r>
      <w:proofErr w:type="spellEnd"/>
      <w:r w:rsidRPr="00BE0B54">
        <w:t>, M.I., Al-</w:t>
      </w:r>
      <w:proofErr w:type="spellStart"/>
      <w:r w:rsidRPr="00BE0B54">
        <w:t>Omran</w:t>
      </w:r>
      <w:proofErr w:type="spellEnd"/>
      <w:r w:rsidRPr="00BE0B54">
        <w:t>, A., El-</w:t>
      </w:r>
      <w:proofErr w:type="spellStart"/>
      <w:r w:rsidRPr="00BE0B54">
        <w:t>Naggar</w:t>
      </w:r>
      <w:proofErr w:type="spellEnd"/>
      <w:r w:rsidRPr="00BE0B54">
        <w:t xml:space="preserve">, A.H., Nadeem, M., Usman, A.R.A., 2013. Pyrolysis temperature induced changes in characteristics and chemical composition of </w:t>
      </w:r>
      <w:proofErr w:type="spellStart"/>
      <w:r w:rsidRPr="00BE0B54">
        <w:t>biochar</w:t>
      </w:r>
      <w:proofErr w:type="spellEnd"/>
      <w:r w:rsidRPr="00BE0B54">
        <w:t xml:space="preserve"> produced from </w:t>
      </w:r>
      <w:proofErr w:type="spellStart"/>
      <w:r w:rsidRPr="00BE0B54">
        <w:t>conocarpus</w:t>
      </w:r>
      <w:proofErr w:type="spellEnd"/>
      <w:r w:rsidRPr="00BE0B54">
        <w:t xml:space="preserve"> wastes</w:t>
      </w:r>
      <w:r w:rsidRPr="00A31DE2">
        <w:rPr>
          <w:i/>
        </w:rPr>
        <w:t xml:space="preserve">. </w:t>
      </w:r>
      <w:proofErr w:type="spellStart"/>
      <w:r w:rsidRPr="00A31DE2">
        <w:rPr>
          <w:i/>
        </w:rPr>
        <w:t>Bioresour</w:t>
      </w:r>
      <w:proofErr w:type="spellEnd"/>
      <w:r w:rsidRPr="00A31DE2">
        <w:rPr>
          <w:i/>
        </w:rPr>
        <w:t>. Technol.</w:t>
      </w:r>
      <w:r w:rsidRPr="00BE0B54">
        <w:t xml:space="preserve"> 131, pp. 374-379.</w:t>
      </w:r>
    </w:p>
    <w:p w14:paraId="63657F3C" w14:textId="5E112EF1" w:rsidR="00FF55BB" w:rsidRDefault="00FF55BB" w:rsidP="000C7C0D">
      <w:pPr>
        <w:pStyle w:val="Reference"/>
      </w:pPr>
    </w:p>
    <w:p w14:paraId="5442AD04" w14:textId="2A649C0D" w:rsidR="00A31DE2" w:rsidRDefault="00A31DE2" w:rsidP="000C7C0D">
      <w:pPr>
        <w:pStyle w:val="Reference"/>
      </w:pPr>
      <w:proofErr w:type="spellStart"/>
      <w:r w:rsidRPr="00BE0B54">
        <w:t>Anupam</w:t>
      </w:r>
      <w:proofErr w:type="spellEnd"/>
      <w:r w:rsidRPr="00BE0B54">
        <w:t xml:space="preserve">, K., Sharma, A.K., Lal, P.S., Dutta, S., and </w:t>
      </w:r>
      <w:proofErr w:type="spellStart"/>
      <w:r w:rsidRPr="00BE0B54">
        <w:t>Maity</w:t>
      </w:r>
      <w:proofErr w:type="spellEnd"/>
      <w:r w:rsidRPr="00BE0B54">
        <w:t xml:space="preserve">, S., 2016., ‘Preparation, characterization and optimization for upgrading </w:t>
      </w:r>
      <w:proofErr w:type="spellStart"/>
      <w:r w:rsidRPr="00BE0B54">
        <w:t>Leucaena</w:t>
      </w:r>
      <w:proofErr w:type="spellEnd"/>
      <w:r w:rsidRPr="00BE0B54">
        <w:t xml:space="preserve"> </w:t>
      </w:r>
      <w:proofErr w:type="spellStart"/>
      <w:r w:rsidRPr="00BE0B54">
        <w:t>leucocephala</w:t>
      </w:r>
      <w:proofErr w:type="spellEnd"/>
      <w:r w:rsidRPr="00BE0B54">
        <w:t xml:space="preserve"> bark to </w:t>
      </w:r>
      <w:proofErr w:type="spellStart"/>
      <w:r w:rsidRPr="00BE0B54">
        <w:t>biochar</w:t>
      </w:r>
      <w:proofErr w:type="spellEnd"/>
      <w:r w:rsidRPr="00BE0B54">
        <w:t xml:space="preserve"> fuel with high energy yielding’., </w:t>
      </w:r>
      <w:r w:rsidRPr="00A31DE2">
        <w:rPr>
          <w:i/>
        </w:rPr>
        <w:t>Energy</w:t>
      </w:r>
      <w:r w:rsidRPr="00BE0B54">
        <w:t xml:space="preserve"> 106 (2016), 743 </w:t>
      </w:r>
      <w:r>
        <w:t>–</w:t>
      </w:r>
      <w:r w:rsidRPr="00BE0B54">
        <w:t xml:space="preserve"> 756</w:t>
      </w:r>
      <w:r>
        <w:t>.</w:t>
      </w:r>
    </w:p>
    <w:p w14:paraId="70C3763C" w14:textId="77777777" w:rsidR="00A31DE2" w:rsidRPr="00BE0B54" w:rsidRDefault="00A31DE2" w:rsidP="000C7C0D">
      <w:pPr>
        <w:pStyle w:val="Reference"/>
      </w:pPr>
    </w:p>
    <w:p w14:paraId="32B95CDF" w14:textId="28107F9D" w:rsidR="008F7241" w:rsidRDefault="005237A9" w:rsidP="000C7C0D">
      <w:pPr>
        <w:pStyle w:val="Reference"/>
      </w:pPr>
      <w:proofErr w:type="spellStart"/>
      <w:r w:rsidRPr="00BE0B54">
        <w:t>Babu</w:t>
      </w:r>
      <w:proofErr w:type="spellEnd"/>
      <w:r w:rsidRPr="00BE0B54">
        <w:t xml:space="preserve">, B.V. 2008. Biomass pyrolysis: a state-of-the-art review, </w:t>
      </w:r>
      <w:r w:rsidRPr="00A31DE2">
        <w:rPr>
          <w:i/>
        </w:rPr>
        <w:t>Biofuels</w:t>
      </w:r>
      <w:r w:rsidRPr="00BE0B54">
        <w:t xml:space="preserve">, </w:t>
      </w:r>
      <w:r w:rsidRPr="00BE0B54">
        <w:rPr>
          <w:bCs/>
        </w:rPr>
        <w:t>2</w:t>
      </w:r>
      <w:r w:rsidRPr="00BE0B54">
        <w:t>:393-414</w:t>
      </w:r>
      <w:r w:rsidR="00FF55BB">
        <w:t>.</w:t>
      </w:r>
    </w:p>
    <w:p w14:paraId="1BFC63E2" w14:textId="503801B6" w:rsidR="00FF55BB" w:rsidRDefault="00FF55BB" w:rsidP="000C7C0D">
      <w:pPr>
        <w:pStyle w:val="Reference"/>
      </w:pPr>
    </w:p>
    <w:p w14:paraId="2BE4539D" w14:textId="77777777" w:rsidR="00A31DE2" w:rsidRDefault="00A31DE2" w:rsidP="00A31DE2">
      <w:pPr>
        <w:pStyle w:val="Reference"/>
      </w:pPr>
      <w:bookmarkStart w:id="1" w:name="bau005"/>
      <w:proofErr w:type="spellStart"/>
      <w:r w:rsidRPr="00BE0B54">
        <w:t>Basu</w:t>
      </w:r>
      <w:proofErr w:type="spellEnd"/>
      <w:r w:rsidRPr="00BE0B54">
        <w:t xml:space="preserve">, P. 2013. </w:t>
      </w:r>
      <w:r w:rsidRPr="00A31DE2">
        <w:rPr>
          <w:i/>
        </w:rPr>
        <w:t xml:space="preserve">Biomass gasification, pyrolysis and </w:t>
      </w:r>
      <w:proofErr w:type="spellStart"/>
      <w:r w:rsidRPr="00A31DE2">
        <w:rPr>
          <w:i/>
        </w:rPr>
        <w:t>torrefaction</w:t>
      </w:r>
      <w:proofErr w:type="spellEnd"/>
      <w:r w:rsidRPr="00A31DE2">
        <w:rPr>
          <w:i/>
        </w:rPr>
        <w:t>: Practical design and theory</w:t>
      </w:r>
      <w:r w:rsidRPr="00BE0B54">
        <w:t xml:space="preserve"> 2</w:t>
      </w:r>
      <w:r w:rsidRPr="00BE0B54">
        <w:rPr>
          <w:vertAlign w:val="superscript"/>
        </w:rPr>
        <w:t>nd</w:t>
      </w:r>
      <w:r w:rsidRPr="00BE0B54">
        <w:t xml:space="preserve"> edition, </w:t>
      </w:r>
      <w:proofErr w:type="spellStart"/>
      <w:r w:rsidRPr="00BE0B54">
        <w:t>Inggris</w:t>
      </w:r>
      <w:proofErr w:type="spellEnd"/>
      <w:r w:rsidRPr="00BE0B54">
        <w:t>, Academic Press of Elsevier</w:t>
      </w:r>
      <w:r>
        <w:t>.</w:t>
      </w:r>
    </w:p>
    <w:bookmarkEnd w:id="1"/>
    <w:p w14:paraId="0FA68880" w14:textId="569D1CC8" w:rsidR="00A31DE2" w:rsidRPr="00BE0B54" w:rsidRDefault="00A31DE2" w:rsidP="00A31DE2">
      <w:pPr>
        <w:pStyle w:val="Reference"/>
        <w:ind w:left="0" w:firstLine="0"/>
      </w:pPr>
    </w:p>
    <w:p w14:paraId="6BE01D8A" w14:textId="6D598A1C" w:rsidR="00C376BA" w:rsidRDefault="005237A9" w:rsidP="000C7C0D">
      <w:pPr>
        <w:pStyle w:val="Reference"/>
      </w:pPr>
      <w:r w:rsidRPr="00BE0B54">
        <w:t xml:space="preserve">Bergman, P.C.A., Kiel, J.H.A. 2005. Torrefaction for biomass upgrading. </w:t>
      </w:r>
      <w:r w:rsidRPr="00A31DE2">
        <w:rPr>
          <w:i/>
        </w:rPr>
        <w:t xml:space="preserve">Fourteenth European Biomass Conference and </w:t>
      </w:r>
      <w:r w:rsidRPr="00A31DE2">
        <w:rPr>
          <w:i/>
        </w:rPr>
        <w:lastRenderedPageBreak/>
        <w:t>Exhibition</w:t>
      </w:r>
      <w:r w:rsidRPr="00BE0B54">
        <w:t>, Paris, ECN Report ECN-RX-05-180</w:t>
      </w:r>
      <w:r w:rsidR="00FF55BB">
        <w:t>.</w:t>
      </w:r>
    </w:p>
    <w:p w14:paraId="1F14373B" w14:textId="77777777" w:rsidR="00A31DE2" w:rsidRDefault="00A31DE2" w:rsidP="000C7C0D">
      <w:pPr>
        <w:pStyle w:val="Reference"/>
      </w:pPr>
    </w:p>
    <w:p w14:paraId="0F829FC2" w14:textId="77777777" w:rsidR="00A31DE2" w:rsidRDefault="00A31DE2" w:rsidP="00A31DE2">
      <w:pPr>
        <w:pStyle w:val="Reference"/>
      </w:pPr>
      <w:proofErr w:type="spellStart"/>
      <w:r w:rsidRPr="005237A9">
        <w:t>Gavalas</w:t>
      </w:r>
      <w:proofErr w:type="spellEnd"/>
      <w:r w:rsidRPr="005237A9">
        <w:t>, G.R. 1982</w:t>
      </w:r>
      <w:r>
        <w:t>.</w:t>
      </w:r>
      <w:r w:rsidRPr="005237A9">
        <w:t xml:space="preserve"> </w:t>
      </w:r>
      <w:r w:rsidRPr="00A31DE2">
        <w:rPr>
          <w:i/>
        </w:rPr>
        <w:t>Coal Pyrolysis</w:t>
      </w:r>
      <w:r w:rsidRPr="00BE0B54">
        <w:t>, Elsevier Scientific Publishing Company, Netherland</w:t>
      </w:r>
      <w:r>
        <w:t>.</w:t>
      </w:r>
    </w:p>
    <w:p w14:paraId="21379B9D" w14:textId="77777777" w:rsidR="00A31DE2" w:rsidRDefault="00A31DE2" w:rsidP="00A31DE2">
      <w:pPr>
        <w:pStyle w:val="Reference"/>
      </w:pPr>
    </w:p>
    <w:p w14:paraId="6D8536DF" w14:textId="1CAAB3AA" w:rsidR="009A0262" w:rsidRDefault="009A0262" w:rsidP="000C7C0D">
      <w:pPr>
        <w:pStyle w:val="Reference"/>
      </w:pPr>
      <w:proofErr w:type="spellStart"/>
      <w:r w:rsidRPr="00BE0B54">
        <w:t>Rouset</w:t>
      </w:r>
      <w:proofErr w:type="spellEnd"/>
      <w:r w:rsidRPr="00BE0B54">
        <w:t xml:space="preserve">, P., Macedo, L., Commandre, J.M., Moreira, A. (2012): Biomass torrefaction under different oxygen concentrations and its effect on the composition of the solid by-product, </w:t>
      </w:r>
      <w:r w:rsidRPr="00A31DE2">
        <w:rPr>
          <w:i/>
        </w:rPr>
        <w:t>J. Anal. Appl. Pyrolysis</w:t>
      </w:r>
      <w:r w:rsidRPr="00BE0B54">
        <w:t xml:space="preserve">, </w:t>
      </w:r>
      <w:r w:rsidRPr="00BE0B54">
        <w:rPr>
          <w:bCs/>
        </w:rPr>
        <w:t>96</w:t>
      </w:r>
      <w:r w:rsidRPr="00BE0B54">
        <w:t>, 86-91</w:t>
      </w:r>
      <w:r w:rsidR="00FF55BB">
        <w:t>.</w:t>
      </w:r>
    </w:p>
    <w:p w14:paraId="5BBB3A87" w14:textId="77777777" w:rsidR="00FF55BB" w:rsidRPr="00BE0B54" w:rsidRDefault="00FF55BB" w:rsidP="000C7C0D">
      <w:pPr>
        <w:pStyle w:val="Reference"/>
      </w:pPr>
    </w:p>
    <w:p w14:paraId="6F81DAC5" w14:textId="653F9ACC" w:rsidR="00AD4DA1" w:rsidRDefault="007A05E8" w:rsidP="000C7C0D">
      <w:pPr>
        <w:pStyle w:val="Reference"/>
      </w:pPr>
      <w:proofErr w:type="spellStart"/>
      <w:r w:rsidRPr="00BE0B54">
        <w:t>Sadak</w:t>
      </w:r>
      <w:proofErr w:type="spellEnd"/>
      <w:r w:rsidRPr="00BE0B54">
        <w:t xml:space="preserve">, S., Negi, S. (2009): Improvements of biomass physical and thermochemical characteristics via torrefaction. </w:t>
      </w:r>
      <w:r w:rsidRPr="00A31DE2">
        <w:rPr>
          <w:i/>
        </w:rPr>
        <w:t>Proc. Environ. Progr. Sustainable Energy, AIChE</w:t>
      </w:r>
      <w:r w:rsidRPr="00BE0B54">
        <w:t xml:space="preserve">, </w:t>
      </w:r>
      <w:r w:rsidRPr="00BE0B54">
        <w:rPr>
          <w:bCs/>
        </w:rPr>
        <w:t>28</w:t>
      </w:r>
      <w:r w:rsidRPr="00BE0B54">
        <w:t xml:space="preserve"> (3), 427-</w:t>
      </w:r>
      <w:proofErr w:type="gramStart"/>
      <w:r w:rsidRPr="00BE0B54">
        <w:t xml:space="preserve">434 </w:t>
      </w:r>
      <w:r w:rsidR="00FF55BB">
        <w:t>.</w:t>
      </w:r>
      <w:proofErr w:type="gramEnd"/>
    </w:p>
    <w:p w14:paraId="542271CE" w14:textId="77777777" w:rsidR="00FF55BB" w:rsidRDefault="00FF55BB" w:rsidP="000C7C0D">
      <w:pPr>
        <w:pStyle w:val="Reference"/>
        <w:rPr>
          <w:color w:val="000000"/>
        </w:rPr>
      </w:pPr>
    </w:p>
    <w:p w14:paraId="5A67EC0F" w14:textId="77777777" w:rsidR="00A31DE2" w:rsidRDefault="00A31DE2" w:rsidP="00A31DE2">
      <w:pPr>
        <w:pStyle w:val="Reference"/>
      </w:pPr>
      <w:proofErr w:type="spellStart"/>
      <w:r w:rsidRPr="00BE0B54">
        <w:t>Tumuluru</w:t>
      </w:r>
      <w:proofErr w:type="spellEnd"/>
      <w:r w:rsidRPr="00BE0B54">
        <w:t xml:space="preserve">, J.S., </w:t>
      </w:r>
      <w:proofErr w:type="spellStart"/>
      <w:r w:rsidRPr="00BE0B54">
        <w:t>Sokhansanj</w:t>
      </w:r>
      <w:proofErr w:type="spellEnd"/>
      <w:r w:rsidRPr="00BE0B54">
        <w:t xml:space="preserve">, S., Hess, J.R., Wright, C.J., </w:t>
      </w:r>
      <w:proofErr w:type="spellStart"/>
      <w:r w:rsidRPr="00BE0B54">
        <w:t>Baardman</w:t>
      </w:r>
      <w:proofErr w:type="spellEnd"/>
      <w:r w:rsidRPr="00BE0B54">
        <w:t xml:space="preserve">, R.D. 2011. A review on biomass </w:t>
      </w:r>
      <w:proofErr w:type="spellStart"/>
      <w:r w:rsidRPr="00BE0B54">
        <w:t>torrefaction</w:t>
      </w:r>
      <w:proofErr w:type="spellEnd"/>
      <w:r w:rsidRPr="00BE0B54">
        <w:t xml:space="preserve"> process and product properties for energy applications</w:t>
      </w:r>
      <w:r w:rsidRPr="00A31DE2">
        <w:rPr>
          <w:i/>
        </w:rPr>
        <w:t xml:space="preserve">, Ind. </w:t>
      </w:r>
      <w:proofErr w:type="spellStart"/>
      <w:r w:rsidRPr="00A31DE2">
        <w:rPr>
          <w:i/>
        </w:rPr>
        <w:t>Biotechnol</w:t>
      </w:r>
      <w:proofErr w:type="spellEnd"/>
      <w:r w:rsidRPr="00A31DE2">
        <w:rPr>
          <w:i/>
        </w:rPr>
        <w:t>,</w:t>
      </w:r>
      <w:r w:rsidRPr="00BE0B54">
        <w:t xml:space="preserve"> </w:t>
      </w:r>
      <w:r w:rsidRPr="00A31DE2">
        <w:t>7 (5),</w:t>
      </w:r>
      <w:r w:rsidRPr="00BE0B54">
        <w:t xml:space="preserve"> 384-491</w:t>
      </w:r>
      <w:r>
        <w:t>.</w:t>
      </w:r>
    </w:p>
    <w:p w14:paraId="5FD7CEEB" w14:textId="77777777" w:rsidR="00A31DE2" w:rsidRPr="00BE0B54" w:rsidRDefault="00A31DE2" w:rsidP="00A31DE2">
      <w:pPr>
        <w:pStyle w:val="Reference"/>
      </w:pPr>
    </w:p>
    <w:p w14:paraId="40931DAF" w14:textId="4132B3BF" w:rsidR="00FF55BB" w:rsidRDefault="002A287C" w:rsidP="00A31DE2">
      <w:pPr>
        <w:pStyle w:val="Reference"/>
        <w:sectPr w:rsidR="00FF55BB" w:rsidSect="00FF55BB">
          <w:type w:val="continuous"/>
          <w:pgSz w:w="11906" w:h="16838" w:code="9"/>
          <w:pgMar w:top="1701" w:right="1701" w:bottom="1701" w:left="1701" w:header="0" w:footer="0" w:gutter="0"/>
          <w:cols w:num="2" w:space="708"/>
          <w:docGrid w:linePitch="360"/>
        </w:sectPr>
      </w:pPr>
      <w:r w:rsidRPr="00BE0B54">
        <w:t xml:space="preserve">Usman, A.R.A., </w:t>
      </w:r>
      <w:proofErr w:type="spellStart"/>
      <w:r w:rsidRPr="00BE0B54">
        <w:t>Abduljabbar</w:t>
      </w:r>
      <w:proofErr w:type="spellEnd"/>
      <w:r w:rsidRPr="00BE0B54">
        <w:t xml:space="preserve">, A., Vithanage, M., Ok, Y.S., Ahmad, M., Ahmad, M., Elfaki, J., Abdulazeem, S.S., Al-Wabel, M.I., 2015. </w:t>
      </w:r>
      <w:r w:rsidR="00BB5C2E" w:rsidRPr="00BE0B54">
        <w:t>‘</w:t>
      </w:r>
      <w:r w:rsidRPr="00BE0B54">
        <w:t>Biochar production from date palm waste: charring te</w:t>
      </w:r>
      <w:bookmarkStart w:id="2" w:name="_GoBack"/>
      <w:bookmarkEnd w:id="2"/>
      <w:r w:rsidRPr="00BE0B54">
        <w:t>mperature induced changes in composition and surface chemistry</w:t>
      </w:r>
      <w:r w:rsidR="00BB5C2E" w:rsidRPr="00BE0B54">
        <w:t>’</w:t>
      </w:r>
      <w:r w:rsidRPr="00BE0B54">
        <w:t xml:space="preserve">. </w:t>
      </w:r>
      <w:r w:rsidRPr="00A31DE2">
        <w:rPr>
          <w:i/>
        </w:rPr>
        <w:t>J. Anal. Appl. Pyrol.</w:t>
      </w:r>
      <w:r w:rsidRPr="00BE0B54">
        <w:t xml:space="preserve"> 115, </w:t>
      </w:r>
      <w:r w:rsidR="00B6055D" w:rsidRPr="00BE0B54">
        <w:t xml:space="preserve">pp. </w:t>
      </w:r>
      <w:r w:rsidRPr="00BE0B54">
        <w:t>392</w:t>
      </w:r>
      <w:r w:rsidR="00B6055D" w:rsidRPr="00BE0B54">
        <w:t>-</w:t>
      </w:r>
      <w:r w:rsidRPr="00BE0B54">
        <w:t>400</w:t>
      </w:r>
      <w:r w:rsidR="00BB5C2E" w:rsidRPr="00BE0B54">
        <w:t>.</w:t>
      </w:r>
    </w:p>
    <w:p w14:paraId="2733B861" w14:textId="063529D9" w:rsidR="00FF55BB" w:rsidRPr="00BE0B54" w:rsidRDefault="00FF55BB" w:rsidP="000C7C0D">
      <w:pPr>
        <w:pStyle w:val="Reference"/>
      </w:pPr>
    </w:p>
    <w:sectPr w:rsidR="00FF55BB" w:rsidRPr="00BE0B54" w:rsidSect="00FF55BB">
      <w:type w:val="continuous"/>
      <w:pgSz w:w="11906" w:h="16838" w:code="9"/>
      <w:pgMar w:top="1701" w:right="1701" w:bottom="1701"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469B2"/>
    <w:multiLevelType w:val="multilevel"/>
    <w:tmpl w:val="26E219AE"/>
    <w:lvl w:ilvl="0">
      <w:start w:val="1"/>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BA3A7E"/>
    <w:multiLevelType w:val="multilevel"/>
    <w:tmpl w:val="26E219AE"/>
    <w:lvl w:ilvl="0">
      <w:start w:val="1"/>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EE1FAA"/>
    <w:multiLevelType w:val="multilevel"/>
    <w:tmpl w:val="26E219AE"/>
    <w:lvl w:ilvl="0">
      <w:start w:val="1"/>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74E23BB"/>
    <w:multiLevelType w:val="multilevel"/>
    <w:tmpl w:val="26E219AE"/>
    <w:lvl w:ilvl="0">
      <w:start w:val="1"/>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AA17C7F"/>
    <w:multiLevelType w:val="hybridMultilevel"/>
    <w:tmpl w:val="83829590"/>
    <w:lvl w:ilvl="0" w:tplc="04210015">
      <w:start w:val="1"/>
      <w:numFmt w:val="upp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5" w15:restartNumberingAfterBreak="0">
    <w:nsid w:val="3AD54CE4"/>
    <w:multiLevelType w:val="hybridMultilevel"/>
    <w:tmpl w:val="140A11E2"/>
    <w:lvl w:ilvl="0" w:tplc="0421000F">
      <w:start w:val="1"/>
      <w:numFmt w:val="decimal"/>
      <w:lvlText w:val="%1."/>
      <w:lvlJc w:val="left"/>
      <w:pPr>
        <w:ind w:left="288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41E5B6E"/>
    <w:multiLevelType w:val="multilevel"/>
    <w:tmpl w:val="D65409E6"/>
    <w:lvl w:ilvl="0">
      <w:start w:val="1"/>
      <w:numFmt w:val="decimal"/>
      <w:lvlText w:val="%1."/>
      <w:lvlJc w:val="left"/>
      <w:pPr>
        <w:ind w:left="360" w:hanging="360"/>
      </w:pPr>
      <w:rPr>
        <w:rFonts w:hint="default"/>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80971B8"/>
    <w:multiLevelType w:val="hybridMultilevel"/>
    <w:tmpl w:val="E404224E"/>
    <w:lvl w:ilvl="0" w:tplc="0421000F">
      <w:start w:val="1"/>
      <w:numFmt w:val="decimal"/>
      <w:lvlText w:val="%1."/>
      <w:lvlJc w:val="left"/>
      <w:pPr>
        <w:ind w:left="288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7"/>
  </w:num>
  <w:num w:numId="5">
    <w:abstractNumId w:val="5"/>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ED"/>
    <w:rsid w:val="00000A4F"/>
    <w:rsid w:val="000164C2"/>
    <w:rsid w:val="000211B6"/>
    <w:rsid w:val="00025A7C"/>
    <w:rsid w:val="00027AE7"/>
    <w:rsid w:val="00031854"/>
    <w:rsid w:val="00037131"/>
    <w:rsid w:val="000371D1"/>
    <w:rsid w:val="00044C1A"/>
    <w:rsid w:val="00046D7C"/>
    <w:rsid w:val="000506D7"/>
    <w:rsid w:val="000577ED"/>
    <w:rsid w:val="00061BAE"/>
    <w:rsid w:val="00062E30"/>
    <w:rsid w:val="00071E2F"/>
    <w:rsid w:val="000767EC"/>
    <w:rsid w:val="00080FED"/>
    <w:rsid w:val="00082505"/>
    <w:rsid w:val="00085FEF"/>
    <w:rsid w:val="00086E4A"/>
    <w:rsid w:val="00092A8F"/>
    <w:rsid w:val="0009381E"/>
    <w:rsid w:val="0009397A"/>
    <w:rsid w:val="00097407"/>
    <w:rsid w:val="000A22EE"/>
    <w:rsid w:val="000A3135"/>
    <w:rsid w:val="000A73FA"/>
    <w:rsid w:val="000B3F0E"/>
    <w:rsid w:val="000B57FB"/>
    <w:rsid w:val="000C6261"/>
    <w:rsid w:val="000C7C0D"/>
    <w:rsid w:val="000E00AF"/>
    <w:rsid w:val="000E674D"/>
    <w:rsid w:val="000F12F6"/>
    <w:rsid w:val="00103879"/>
    <w:rsid w:val="00105F37"/>
    <w:rsid w:val="001068FC"/>
    <w:rsid w:val="00112BE5"/>
    <w:rsid w:val="00115100"/>
    <w:rsid w:val="001153B3"/>
    <w:rsid w:val="0011773A"/>
    <w:rsid w:val="00120A8C"/>
    <w:rsid w:val="001271F0"/>
    <w:rsid w:val="00130E8A"/>
    <w:rsid w:val="00130FCF"/>
    <w:rsid w:val="001341B6"/>
    <w:rsid w:val="00137857"/>
    <w:rsid w:val="00137F90"/>
    <w:rsid w:val="001465C1"/>
    <w:rsid w:val="00146B36"/>
    <w:rsid w:val="0015141E"/>
    <w:rsid w:val="00151F5B"/>
    <w:rsid w:val="00166741"/>
    <w:rsid w:val="0016699A"/>
    <w:rsid w:val="00170813"/>
    <w:rsid w:val="001878A7"/>
    <w:rsid w:val="0019216A"/>
    <w:rsid w:val="00197DE9"/>
    <w:rsid w:val="001A16D8"/>
    <w:rsid w:val="001A1FCD"/>
    <w:rsid w:val="001A4744"/>
    <w:rsid w:val="001A5368"/>
    <w:rsid w:val="001B2CF5"/>
    <w:rsid w:val="001B7AF4"/>
    <w:rsid w:val="001C3A3F"/>
    <w:rsid w:val="001E06BC"/>
    <w:rsid w:val="001E6C31"/>
    <w:rsid w:val="001F022C"/>
    <w:rsid w:val="001F3C19"/>
    <w:rsid w:val="002036E4"/>
    <w:rsid w:val="0021524C"/>
    <w:rsid w:val="00217D8B"/>
    <w:rsid w:val="00224B67"/>
    <w:rsid w:val="00224FB4"/>
    <w:rsid w:val="00231723"/>
    <w:rsid w:val="00242C78"/>
    <w:rsid w:val="00274AC7"/>
    <w:rsid w:val="00275988"/>
    <w:rsid w:val="002812AA"/>
    <w:rsid w:val="00294856"/>
    <w:rsid w:val="002A01CE"/>
    <w:rsid w:val="002A287C"/>
    <w:rsid w:val="002B4279"/>
    <w:rsid w:val="002B6AE2"/>
    <w:rsid w:val="002C431F"/>
    <w:rsid w:val="002C5654"/>
    <w:rsid w:val="002D121C"/>
    <w:rsid w:val="002D3986"/>
    <w:rsid w:val="002E228A"/>
    <w:rsid w:val="002F6E0A"/>
    <w:rsid w:val="00302582"/>
    <w:rsid w:val="00314636"/>
    <w:rsid w:val="0032218E"/>
    <w:rsid w:val="00330297"/>
    <w:rsid w:val="0034265F"/>
    <w:rsid w:val="003439D5"/>
    <w:rsid w:val="00344B12"/>
    <w:rsid w:val="00352E13"/>
    <w:rsid w:val="00356962"/>
    <w:rsid w:val="0036046F"/>
    <w:rsid w:val="00365A90"/>
    <w:rsid w:val="00367701"/>
    <w:rsid w:val="003A41A0"/>
    <w:rsid w:val="003B3AEB"/>
    <w:rsid w:val="003B5249"/>
    <w:rsid w:val="003B7B70"/>
    <w:rsid w:val="003F0DAE"/>
    <w:rsid w:val="003F3825"/>
    <w:rsid w:val="003F7E1F"/>
    <w:rsid w:val="00405221"/>
    <w:rsid w:val="00414325"/>
    <w:rsid w:val="00430FBF"/>
    <w:rsid w:val="00453DBA"/>
    <w:rsid w:val="00454ED7"/>
    <w:rsid w:val="004714ED"/>
    <w:rsid w:val="004733BC"/>
    <w:rsid w:val="00481733"/>
    <w:rsid w:val="0048559B"/>
    <w:rsid w:val="00492826"/>
    <w:rsid w:val="0049788C"/>
    <w:rsid w:val="004A3112"/>
    <w:rsid w:val="004A4A08"/>
    <w:rsid w:val="004B3611"/>
    <w:rsid w:val="004B4173"/>
    <w:rsid w:val="004B4E05"/>
    <w:rsid w:val="004C40A1"/>
    <w:rsid w:val="004D1F1E"/>
    <w:rsid w:val="004D529F"/>
    <w:rsid w:val="004E5E8F"/>
    <w:rsid w:val="004E6AFB"/>
    <w:rsid w:val="004F3130"/>
    <w:rsid w:val="005061C0"/>
    <w:rsid w:val="00510A46"/>
    <w:rsid w:val="0052129A"/>
    <w:rsid w:val="00521FC0"/>
    <w:rsid w:val="005237A9"/>
    <w:rsid w:val="005237B4"/>
    <w:rsid w:val="00526B73"/>
    <w:rsid w:val="005309CD"/>
    <w:rsid w:val="00537BD9"/>
    <w:rsid w:val="00542555"/>
    <w:rsid w:val="00544398"/>
    <w:rsid w:val="005514E2"/>
    <w:rsid w:val="0055310C"/>
    <w:rsid w:val="005639C4"/>
    <w:rsid w:val="0056796D"/>
    <w:rsid w:val="00573ADD"/>
    <w:rsid w:val="00576881"/>
    <w:rsid w:val="005809D2"/>
    <w:rsid w:val="00582CC8"/>
    <w:rsid w:val="00590AE0"/>
    <w:rsid w:val="00591D2E"/>
    <w:rsid w:val="00592ECE"/>
    <w:rsid w:val="005A4FF9"/>
    <w:rsid w:val="005A786D"/>
    <w:rsid w:val="005B3087"/>
    <w:rsid w:val="005B7758"/>
    <w:rsid w:val="005C134F"/>
    <w:rsid w:val="005C4D34"/>
    <w:rsid w:val="005C6706"/>
    <w:rsid w:val="005D51E7"/>
    <w:rsid w:val="005E0062"/>
    <w:rsid w:val="005E13F9"/>
    <w:rsid w:val="005E780F"/>
    <w:rsid w:val="0060007E"/>
    <w:rsid w:val="006048D8"/>
    <w:rsid w:val="0061189D"/>
    <w:rsid w:val="00616F72"/>
    <w:rsid w:val="006224F5"/>
    <w:rsid w:val="00624209"/>
    <w:rsid w:val="00632785"/>
    <w:rsid w:val="00645753"/>
    <w:rsid w:val="0065243A"/>
    <w:rsid w:val="006546E2"/>
    <w:rsid w:val="00672DB5"/>
    <w:rsid w:val="00673588"/>
    <w:rsid w:val="00677E32"/>
    <w:rsid w:val="00682B67"/>
    <w:rsid w:val="00685A00"/>
    <w:rsid w:val="006871B0"/>
    <w:rsid w:val="00697ABE"/>
    <w:rsid w:val="006B707F"/>
    <w:rsid w:val="006C4D53"/>
    <w:rsid w:val="006C65FD"/>
    <w:rsid w:val="006D5E22"/>
    <w:rsid w:val="006E00FC"/>
    <w:rsid w:val="006E26ED"/>
    <w:rsid w:val="006E2E58"/>
    <w:rsid w:val="006E55B6"/>
    <w:rsid w:val="006F0E01"/>
    <w:rsid w:val="006F200B"/>
    <w:rsid w:val="00701AA7"/>
    <w:rsid w:val="00713472"/>
    <w:rsid w:val="00724D67"/>
    <w:rsid w:val="00727A1E"/>
    <w:rsid w:val="00731A06"/>
    <w:rsid w:val="00734255"/>
    <w:rsid w:val="00735A93"/>
    <w:rsid w:val="00735E4F"/>
    <w:rsid w:val="007432F1"/>
    <w:rsid w:val="0074584C"/>
    <w:rsid w:val="0074788B"/>
    <w:rsid w:val="00755A8B"/>
    <w:rsid w:val="00767385"/>
    <w:rsid w:val="00772429"/>
    <w:rsid w:val="007725BE"/>
    <w:rsid w:val="0077372C"/>
    <w:rsid w:val="00776F05"/>
    <w:rsid w:val="00776FAE"/>
    <w:rsid w:val="007777B3"/>
    <w:rsid w:val="00777EE0"/>
    <w:rsid w:val="007823D2"/>
    <w:rsid w:val="00782F8C"/>
    <w:rsid w:val="00787215"/>
    <w:rsid w:val="00790FBD"/>
    <w:rsid w:val="007A05E8"/>
    <w:rsid w:val="007A21E1"/>
    <w:rsid w:val="007B09D7"/>
    <w:rsid w:val="007B1F74"/>
    <w:rsid w:val="007B4519"/>
    <w:rsid w:val="007B6E83"/>
    <w:rsid w:val="007C1103"/>
    <w:rsid w:val="007D0DBC"/>
    <w:rsid w:val="007D4284"/>
    <w:rsid w:val="007E3F60"/>
    <w:rsid w:val="007F3632"/>
    <w:rsid w:val="008013C4"/>
    <w:rsid w:val="00824248"/>
    <w:rsid w:val="00824C09"/>
    <w:rsid w:val="0083656C"/>
    <w:rsid w:val="0084190A"/>
    <w:rsid w:val="00841B1B"/>
    <w:rsid w:val="00853DBB"/>
    <w:rsid w:val="00853EB3"/>
    <w:rsid w:val="008669D0"/>
    <w:rsid w:val="00873FC3"/>
    <w:rsid w:val="00874030"/>
    <w:rsid w:val="00881337"/>
    <w:rsid w:val="00890479"/>
    <w:rsid w:val="00896997"/>
    <w:rsid w:val="008974AA"/>
    <w:rsid w:val="008A5E58"/>
    <w:rsid w:val="008B04A6"/>
    <w:rsid w:val="008B142A"/>
    <w:rsid w:val="008B2F72"/>
    <w:rsid w:val="008B5025"/>
    <w:rsid w:val="008B79D3"/>
    <w:rsid w:val="008D0551"/>
    <w:rsid w:val="008D2E2F"/>
    <w:rsid w:val="008E043D"/>
    <w:rsid w:val="008E2933"/>
    <w:rsid w:val="008E5925"/>
    <w:rsid w:val="008E638E"/>
    <w:rsid w:val="008F6A20"/>
    <w:rsid w:val="008F7241"/>
    <w:rsid w:val="009048CA"/>
    <w:rsid w:val="00913B65"/>
    <w:rsid w:val="00921996"/>
    <w:rsid w:val="009301A8"/>
    <w:rsid w:val="00932CE2"/>
    <w:rsid w:val="009345C9"/>
    <w:rsid w:val="00934C13"/>
    <w:rsid w:val="00946B25"/>
    <w:rsid w:val="00954D1C"/>
    <w:rsid w:val="00976AC2"/>
    <w:rsid w:val="00982188"/>
    <w:rsid w:val="009835A0"/>
    <w:rsid w:val="00994FED"/>
    <w:rsid w:val="009967F2"/>
    <w:rsid w:val="00997158"/>
    <w:rsid w:val="009A0262"/>
    <w:rsid w:val="009A5E15"/>
    <w:rsid w:val="009B09E1"/>
    <w:rsid w:val="009C2CB2"/>
    <w:rsid w:val="009C5F66"/>
    <w:rsid w:val="009D0B7D"/>
    <w:rsid w:val="009D2C4F"/>
    <w:rsid w:val="009D6EE5"/>
    <w:rsid w:val="009D7D13"/>
    <w:rsid w:val="009F6E15"/>
    <w:rsid w:val="00A01B39"/>
    <w:rsid w:val="00A0292B"/>
    <w:rsid w:val="00A13978"/>
    <w:rsid w:val="00A13E49"/>
    <w:rsid w:val="00A2652D"/>
    <w:rsid w:val="00A31DE2"/>
    <w:rsid w:val="00A35456"/>
    <w:rsid w:val="00A4238B"/>
    <w:rsid w:val="00A51CCB"/>
    <w:rsid w:val="00A563B5"/>
    <w:rsid w:val="00A63485"/>
    <w:rsid w:val="00A679A4"/>
    <w:rsid w:val="00A71122"/>
    <w:rsid w:val="00A949BE"/>
    <w:rsid w:val="00A964C4"/>
    <w:rsid w:val="00AA6F57"/>
    <w:rsid w:val="00AA7A67"/>
    <w:rsid w:val="00AB34AB"/>
    <w:rsid w:val="00AD0FAA"/>
    <w:rsid w:val="00AD4DA1"/>
    <w:rsid w:val="00B05538"/>
    <w:rsid w:val="00B160BA"/>
    <w:rsid w:val="00B17004"/>
    <w:rsid w:val="00B22E76"/>
    <w:rsid w:val="00B237F8"/>
    <w:rsid w:val="00B240AB"/>
    <w:rsid w:val="00B3357C"/>
    <w:rsid w:val="00B34BC3"/>
    <w:rsid w:val="00B473DA"/>
    <w:rsid w:val="00B51A4C"/>
    <w:rsid w:val="00B53DFF"/>
    <w:rsid w:val="00B55C6B"/>
    <w:rsid w:val="00B57415"/>
    <w:rsid w:val="00B6055D"/>
    <w:rsid w:val="00B63A70"/>
    <w:rsid w:val="00B7015D"/>
    <w:rsid w:val="00B71C4E"/>
    <w:rsid w:val="00B8110C"/>
    <w:rsid w:val="00B907D5"/>
    <w:rsid w:val="00B95360"/>
    <w:rsid w:val="00B96394"/>
    <w:rsid w:val="00BA449D"/>
    <w:rsid w:val="00BA547F"/>
    <w:rsid w:val="00BB5C2E"/>
    <w:rsid w:val="00BC429A"/>
    <w:rsid w:val="00BC775A"/>
    <w:rsid w:val="00BE0B54"/>
    <w:rsid w:val="00BE383E"/>
    <w:rsid w:val="00BE4533"/>
    <w:rsid w:val="00BE490A"/>
    <w:rsid w:val="00BE7FF1"/>
    <w:rsid w:val="00BF00B8"/>
    <w:rsid w:val="00BF3599"/>
    <w:rsid w:val="00C12E99"/>
    <w:rsid w:val="00C161F8"/>
    <w:rsid w:val="00C23FAB"/>
    <w:rsid w:val="00C2580A"/>
    <w:rsid w:val="00C26358"/>
    <w:rsid w:val="00C34D45"/>
    <w:rsid w:val="00C367A0"/>
    <w:rsid w:val="00C36F82"/>
    <w:rsid w:val="00C376BA"/>
    <w:rsid w:val="00C40299"/>
    <w:rsid w:val="00C403A0"/>
    <w:rsid w:val="00C41192"/>
    <w:rsid w:val="00C503D2"/>
    <w:rsid w:val="00C52243"/>
    <w:rsid w:val="00C538FF"/>
    <w:rsid w:val="00C53A74"/>
    <w:rsid w:val="00C55D69"/>
    <w:rsid w:val="00C5741F"/>
    <w:rsid w:val="00C57795"/>
    <w:rsid w:val="00C57E97"/>
    <w:rsid w:val="00C67495"/>
    <w:rsid w:val="00C727EC"/>
    <w:rsid w:val="00C75E5C"/>
    <w:rsid w:val="00C76BBA"/>
    <w:rsid w:val="00C84DFC"/>
    <w:rsid w:val="00C914CD"/>
    <w:rsid w:val="00C9153C"/>
    <w:rsid w:val="00C94D9C"/>
    <w:rsid w:val="00CA7157"/>
    <w:rsid w:val="00CB0B00"/>
    <w:rsid w:val="00CB6B5F"/>
    <w:rsid w:val="00CC5C4E"/>
    <w:rsid w:val="00CD3AED"/>
    <w:rsid w:val="00CD667D"/>
    <w:rsid w:val="00CE4074"/>
    <w:rsid w:val="00CE77EF"/>
    <w:rsid w:val="00CF11B7"/>
    <w:rsid w:val="00CF32DB"/>
    <w:rsid w:val="00CF394C"/>
    <w:rsid w:val="00CF767B"/>
    <w:rsid w:val="00D05069"/>
    <w:rsid w:val="00D13423"/>
    <w:rsid w:val="00D26B4C"/>
    <w:rsid w:val="00D26D0C"/>
    <w:rsid w:val="00D42A97"/>
    <w:rsid w:val="00D42DD6"/>
    <w:rsid w:val="00D44CB0"/>
    <w:rsid w:val="00D51243"/>
    <w:rsid w:val="00D5758E"/>
    <w:rsid w:val="00D6394F"/>
    <w:rsid w:val="00D672D1"/>
    <w:rsid w:val="00D76B88"/>
    <w:rsid w:val="00D83189"/>
    <w:rsid w:val="00D85F43"/>
    <w:rsid w:val="00D909C6"/>
    <w:rsid w:val="00D91E2E"/>
    <w:rsid w:val="00DA29D3"/>
    <w:rsid w:val="00DA528B"/>
    <w:rsid w:val="00DA65F3"/>
    <w:rsid w:val="00DA6F84"/>
    <w:rsid w:val="00DB1696"/>
    <w:rsid w:val="00DB5340"/>
    <w:rsid w:val="00DC2097"/>
    <w:rsid w:val="00DD2C68"/>
    <w:rsid w:val="00DD420A"/>
    <w:rsid w:val="00DF00CC"/>
    <w:rsid w:val="00DF0D93"/>
    <w:rsid w:val="00DF216B"/>
    <w:rsid w:val="00DF3DF6"/>
    <w:rsid w:val="00DF4277"/>
    <w:rsid w:val="00DF77E3"/>
    <w:rsid w:val="00E24CE3"/>
    <w:rsid w:val="00E31C42"/>
    <w:rsid w:val="00E34B6F"/>
    <w:rsid w:val="00E40D88"/>
    <w:rsid w:val="00E41118"/>
    <w:rsid w:val="00E41C2A"/>
    <w:rsid w:val="00E61425"/>
    <w:rsid w:val="00E61511"/>
    <w:rsid w:val="00E635AD"/>
    <w:rsid w:val="00E648C6"/>
    <w:rsid w:val="00E64B4F"/>
    <w:rsid w:val="00E66ADD"/>
    <w:rsid w:val="00E72DC4"/>
    <w:rsid w:val="00E92853"/>
    <w:rsid w:val="00E9559F"/>
    <w:rsid w:val="00EA6156"/>
    <w:rsid w:val="00EB1956"/>
    <w:rsid w:val="00EB3C01"/>
    <w:rsid w:val="00EC5EDD"/>
    <w:rsid w:val="00EC5F06"/>
    <w:rsid w:val="00ED1B3F"/>
    <w:rsid w:val="00ED4AD7"/>
    <w:rsid w:val="00ED58C1"/>
    <w:rsid w:val="00ED6DE2"/>
    <w:rsid w:val="00ED7CA6"/>
    <w:rsid w:val="00EE3D74"/>
    <w:rsid w:val="00EE5586"/>
    <w:rsid w:val="00F00433"/>
    <w:rsid w:val="00F06DD9"/>
    <w:rsid w:val="00F07D03"/>
    <w:rsid w:val="00F2115A"/>
    <w:rsid w:val="00F3187E"/>
    <w:rsid w:val="00F32513"/>
    <w:rsid w:val="00F34F4B"/>
    <w:rsid w:val="00F364BD"/>
    <w:rsid w:val="00F374B7"/>
    <w:rsid w:val="00F40C39"/>
    <w:rsid w:val="00F452CA"/>
    <w:rsid w:val="00F518F4"/>
    <w:rsid w:val="00F541AF"/>
    <w:rsid w:val="00F54754"/>
    <w:rsid w:val="00F67C6B"/>
    <w:rsid w:val="00F72DF9"/>
    <w:rsid w:val="00F72F76"/>
    <w:rsid w:val="00F742B7"/>
    <w:rsid w:val="00F74580"/>
    <w:rsid w:val="00F74D18"/>
    <w:rsid w:val="00F77B22"/>
    <w:rsid w:val="00F860EF"/>
    <w:rsid w:val="00F869F1"/>
    <w:rsid w:val="00F93402"/>
    <w:rsid w:val="00F94B59"/>
    <w:rsid w:val="00FA68B8"/>
    <w:rsid w:val="00FC2BB4"/>
    <w:rsid w:val="00FC4357"/>
    <w:rsid w:val="00FC54C7"/>
    <w:rsid w:val="00FC718D"/>
    <w:rsid w:val="00FD3CEC"/>
    <w:rsid w:val="00FD4DEB"/>
    <w:rsid w:val="00FE1993"/>
    <w:rsid w:val="00FE2304"/>
    <w:rsid w:val="00FE5FC1"/>
    <w:rsid w:val="00FE684F"/>
    <w:rsid w:val="00FE6B35"/>
    <w:rsid w:val="00FF55BB"/>
    <w:rsid w:val="00FF6288"/>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0A575"/>
  <w15:chartTrackingRefBased/>
  <w15:docId w15:val="{54BD6AB6-9C58-40B4-AF50-F61161BE5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63A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semiHidden/>
    <w:unhideWhenUsed/>
    <w:qFormat/>
    <w:rsid w:val="002B42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2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27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4"/>
    <w:qFormat/>
    <w:rsid w:val="002B4279"/>
    <w:pPr>
      <w:spacing w:after="0" w:line="240" w:lineRule="auto"/>
      <w:ind w:left="34" w:right="34"/>
      <w:jc w:val="both"/>
    </w:pPr>
    <w:rPr>
      <w:rFonts w:ascii="Arial" w:eastAsia="Arial" w:hAnsi="Arial" w:cs="Arial"/>
      <w:sz w:val="18"/>
      <w:szCs w:val="18"/>
      <w:lang w:val="en-US" w:eastAsia="id-ID"/>
    </w:rPr>
  </w:style>
  <w:style w:type="paragraph" w:customStyle="1" w:styleId="AbstractTitle">
    <w:name w:val="Abstract Title"/>
    <w:basedOn w:val="Normal"/>
    <w:uiPriority w:val="2"/>
    <w:qFormat/>
    <w:rsid w:val="002B4279"/>
    <w:pPr>
      <w:spacing w:before="100" w:after="0" w:line="240" w:lineRule="auto"/>
      <w:ind w:left="34" w:right="34"/>
      <w:jc w:val="both"/>
    </w:pPr>
    <w:rPr>
      <w:rFonts w:ascii="Arial" w:eastAsia="Arial" w:hAnsi="Arial" w:cs="Arial"/>
      <w:b/>
      <w:sz w:val="18"/>
      <w:szCs w:val="18"/>
      <w:lang w:val="en-US" w:eastAsia="id-ID"/>
    </w:rPr>
  </w:style>
  <w:style w:type="paragraph" w:customStyle="1" w:styleId="Author">
    <w:name w:val="Author"/>
    <w:basedOn w:val="Normal"/>
    <w:uiPriority w:val="1"/>
    <w:qFormat/>
    <w:rsid w:val="002B4279"/>
    <w:pPr>
      <w:spacing w:after="0" w:line="240" w:lineRule="auto"/>
      <w:jc w:val="center"/>
    </w:pPr>
    <w:rPr>
      <w:rFonts w:ascii="Arial" w:eastAsia="Arial" w:hAnsi="Arial" w:cs="Arial"/>
      <w:b/>
      <w:caps/>
      <w:sz w:val="20"/>
      <w:szCs w:val="20"/>
      <w:lang w:val="en-US" w:eastAsia="id-ID"/>
    </w:rPr>
  </w:style>
  <w:style w:type="paragraph" w:customStyle="1" w:styleId="BodiText">
    <w:name w:val="Bodi Text"/>
    <w:basedOn w:val="Normal"/>
    <w:uiPriority w:val="4"/>
    <w:qFormat/>
    <w:rsid w:val="002B4279"/>
    <w:pPr>
      <w:spacing w:after="0" w:line="240" w:lineRule="auto"/>
      <w:jc w:val="both"/>
    </w:pPr>
    <w:rPr>
      <w:rFonts w:ascii="Arial" w:eastAsia="Arial" w:hAnsi="Arial" w:cs="Arial"/>
      <w:sz w:val="20"/>
      <w:szCs w:val="20"/>
      <w:lang w:val="en-US" w:eastAsia="id-ID"/>
    </w:rPr>
  </w:style>
  <w:style w:type="paragraph" w:customStyle="1" w:styleId="ChapterTitle">
    <w:name w:val="Chapter Title"/>
    <w:basedOn w:val="Heading1"/>
    <w:uiPriority w:val="3"/>
    <w:qFormat/>
    <w:rsid w:val="002B4279"/>
    <w:pPr>
      <w:keepNext/>
      <w:keepLines/>
      <w:spacing w:before="0" w:beforeAutospacing="0" w:after="0" w:afterAutospacing="0"/>
      <w:jc w:val="both"/>
    </w:pPr>
    <w:rPr>
      <w:rFonts w:ascii="Arial" w:eastAsiaTheme="majorEastAsia" w:hAnsi="Arial" w:cstheme="majorBidi"/>
      <w:caps/>
      <w:kern w:val="0"/>
      <w:sz w:val="20"/>
      <w:szCs w:val="28"/>
      <w:lang w:val="en-US"/>
    </w:rPr>
  </w:style>
  <w:style w:type="paragraph" w:customStyle="1" w:styleId="EnglishTitle">
    <w:name w:val="English Title"/>
    <w:basedOn w:val="Normal"/>
    <w:qFormat/>
    <w:rsid w:val="002B4279"/>
    <w:pPr>
      <w:spacing w:after="0" w:line="240" w:lineRule="auto"/>
      <w:contextualSpacing/>
      <w:jc w:val="center"/>
    </w:pPr>
    <w:rPr>
      <w:rFonts w:ascii="Arial" w:eastAsiaTheme="majorEastAsia" w:hAnsi="Arial" w:cstheme="majorBidi"/>
      <w:b/>
      <w:caps/>
      <w:kern w:val="28"/>
      <w:sz w:val="36"/>
      <w:szCs w:val="52"/>
      <w:lang w:val="en-US" w:eastAsia="id-ID"/>
    </w:rPr>
  </w:style>
  <w:style w:type="paragraph" w:customStyle="1" w:styleId="Equation">
    <w:name w:val="Equation"/>
    <w:basedOn w:val="Normal"/>
    <w:link w:val="EquationChar"/>
    <w:uiPriority w:val="4"/>
    <w:qFormat/>
    <w:rsid w:val="002B4279"/>
    <w:pPr>
      <w:tabs>
        <w:tab w:val="right" w:leader="dot" w:pos="3968"/>
      </w:tabs>
      <w:spacing w:after="0" w:line="240" w:lineRule="auto"/>
      <w:jc w:val="both"/>
    </w:pPr>
    <w:rPr>
      <w:rFonts w:ascii="Arial" w:eastAsia="Arial" w:hAnsi="Arial" w:cs="Arial"/>
      <w:sz w:val="20"/>
      <w:szCs w:val="20"/>
      <w:lang w:val="en-US" w:eastAsia="id-ID"/>
    </w:rPr>
  </w:style>
  <w:style w:type="character" w:customStyle="1" w:styleId="EquationChar">
    <w:name w:val="Equation Char"/>
    <w:basedOn w:val="DefaultParagraphFont"/>
    <w:link w:val="Equation"/>
    <w:uiPriority w:val="4"/>
    <w:rsid w:val="002B4279"/>
    <w:rPr>
      <w:rFonts w:ascii="Arial" w:eastAsia="Arial" w:hAnsi="Arial" w:cs="Arial"/>
      <w:sz w:val="20"/>
      <w:szCs w:val="20"/>
      <w:lang w:val="en-US" w:eastAsia="id-ID"/>
    </w:rPr>
  </w:style>
  <w:style w:type="paragraph" w:customStyle="1" w:styleId="FigureTitle">
    <w:name w:val="Figure Title"/>
    <w:basedOn w:val="Heading3"/>
    <w:next w:val="Heading3"/>
    <w:uiPriority w:val="5"/>
    <w:qFormat/>
    <w:rsid w:val="002B4279"/>
    <w:pPr>
      <w:spacing w:before="0" w:line="240" w:lineRule="auto"/>
      <w:jc w:val="center"/>
    </w:pPr>
    <w:rPr>
      <w:rFonts w:ascii="Arial" w:hAnsi="Arial"/>
      <w:bCs/>
      <w:color w:val="auto"/>
      <w:sz w:val="18"/>
      <w:szCs w:val="20"/>
      <w:lang w:val="en-US" w:eastAsia="id-ID"/>
    </w:rPr>
  </w:style>
  <w:style w:type="character" w:customStyle="1" w:styleId="Heading3Char">
    <w:name w:val="Heading 3 Char"/>
    <w:basedOn w:val="DefaultParagraphFont"/>
    <w:link w:val="Heading3"/>
    <w:uiPriority w:val="9"/>
    <w:semiHidden/>
    <w:rsid w:val="002B4279"/>
    <w:rPr>
      <w:rFonts w:asciiTheme="majorHAnsi" w:eastAsiaTheme="majorEastAsia" w:hAnsiTheme="majorHAnsi" w:cstheme="majorBidi"/>
      <w:color w:val="1F4D78" w:themeColor="accent1" w:themeShade="7F"/>
      <w:sz w:val="24"/>
      <w:szCs w:val="24"/>
    </w:rPr>
  </w:style>
  <w:style w:type="paragraph" w:customStyle="1" w:styleId="Indent1">
    <w:name w:val="Indent 1"/>
    <w:basedOn w:val="Normal"/>
    <w:uiPriority w:val="4"/>
    <w:qFormat/>
    <w:rsid w:val="002B4279"/>
    <w:pPr>
      <w:tabs>
        <w:tab w:val="left" w:pos="284"/>
      </w:tabs>
      <w:spacing w:after="0" w:line="240" w:lineRule="auto"/>
      <w:ind w:left="284" w:hanging="284"/>
      <w:jc w:val="both"/>
    </w:pPr>
    <w:rPr>
      <w:rFonts w:ascii="Arial" w:eastAsia="Arial" w:hAnsi="Arial" w:cs="Arial"/>
      <w:sz w:val="20"/>
      <w:szCs w:val="20"/>
      <w:lang w:val="en" w:eastAsia="id-ID"/>
    </w:rPr>
  </w:style>
  <w:style w:type="character" w:customStyle="1" w:styleId="Heading1Char">
    <w:name w:val="Heading 1 Char"/>
    <w:basedOn w:val="DefaultParagraphFont"/>
    <w:link w:val="Heading1"/>
    <w:uiPriority w:val="9"/>
    <w:rsid w:val="00B63A70"/>
    <w:rPr>
      <w:rFonts w:ascii="Times New Roman" w:eastAsia="Times New Roman" w:hAnsi="Times New Roman" w:cs="Times New Roman"/>
      <w:b/>
      <w:bCs/>
      <w:kern w:val="36"/>
      <w:sz w:val="48"/>
      <w:szCs w:val="48"/>
      <w:lang w:eastAsia="id-ID"/>
    </w:rPr>
  </w:style>
  <w:style w:type="paragraph" w:customStyle="1" w:styleId="Indent2">
    <w:name w:val="Indent 2"/>
    <w:basedOn w:val="Normal"/>
    <w:uiPriority w:val="4"/>
    <w:qFormat/>
    <w:rsid w:val="002B4279"/>
    <w:pPr>
      <w:spacing w:after="0" w:line="240" w:lineRule="auto"/>
      <w:ind w:left="567" w:hanging="283"/>
      <w:jc w:val="both"/>
    </w:pPr>
    <w:rPr>
      <w:rFonts w:ascii="Arial" w:eastAsia="Arial" w:hAnsi="Arial" w:cs="Arial"/>
      <w:sz w:val="20"/>
      <w:szCs w:val="20"/>
      <w:lang w:val="en" w:eastAsia="id-ID"/>
    </w:rPr>
  </w:style>
  <w:style w:type="paragraph" w:customStyle="1" w:styleId="IndonesianTitleBahasa">
    <w:name w:val="Indonesian Title (Bahasa)"/>
    <w:basedOn w:val="Normal"/>
    <w:qFormat/>
    <w:rsid w:val="002B4279"/>
    <w:pPr>
      <w:spacing w:after="0" w:line="240" w:lineRule="auto"/>
      <w:contextualSpacing/>
      <w:jc w:val="center"/>
    </w:pPr>
    <w:rPr>
      <w:rFonts w:ascii="Arial" w:eastAsiaTheme="majorEastAsia" w:hAnsi="Arial" w:cstheme="majorBidi"/>
      <w:i/>
      <w:caps/>
      <w:kern w:val="28"/>
      <w:sz w:val="28"/>
      <w:szCs w:val="52"/>
      <w:lang w:val="en-US" w:eastAsia="id-ID"/>
    </w:rPr>
  </w:style>
  <w:style w:type="paragraph" w:customStyle="1" w:styleId="Reference">
    <w:name w:val="Reference"/>
    <w:basedOn w:val="Normal"/>
    <w:uiPriority w:val="8"/>
    <w:qFormat/>
    <w:rsid w:val="002B4279"/>
    <w:pPr>
      <w:spacing w:after="0" w:line="240" w:lineRule="auto"/>
      <w:ind w:left="709" w:hanging="709"/>
      <w:jc w:val="both"/>
    </w:pPr>
    <w:rPr>
      <w:rFonts w:ascii="Arial" w:eastAsia="Arial" w:hAnsi="Arial" w:cs="Arial"/>
      <w:sz w:val="18"/>
      <w:szCs w:val="18"/>
      <w:lang w:val="en-US" w:eastAsia="id-ID"/>
    </w:rPr>
  </w:style>
  <w:style w:type="paragraph" w:customStyle="1" w:styleId="SectionTitle">
    <w:name w:val="Section Title"/>
    <w:basedOn w:val="Heading2"/>
    <w:uiPriority w:val="3"/>
    <w:qFormat/>
    <w:rsid w:val="002B4279"/>
    <w:pPr>
      <w:spacing w:before="0" w:line="240" w:lineRule="auto"/>
      <w:jc w:val="both"/>
    </w:pPr>
    <w:rPr>
      <w:rFonts w:ascii="Arial" w:hAnsi="Arial"/>
      <w:b/>
      <w:bCs/>
      <w:color w:val="auto"/>
      <w:sz w:val="20"/>
      <w:lang w:val="en-US" w:eastAsia="id-ID"/>
    </w:rPr>
  </w:style>
  <w:style w:type="character" w:customStyle="1" w:styleId="Heading2Char">
    <w:name w:val="Heading 2 Char"/>
    <w:basedOn w:val="DefaultParagraphFont"/>
    <w:link w:val="Heading2"/>
    <w:uiPriority w:val="9"/>
    <w:semiHidden/>
    <w:rsid w:val="002B4279"/>
    <w:rPr>
      <w:rFonts w:asciiTheme="majorHAnsi" w:eastAsiaTheme="majorEastAsia" w:hAnsiTheme="majorHAnsi" w:cstheme="majorBidi"/>
      <w:color w:val="2E74B5" w:themeColor="accent1" w:themeShade="BF"/>
      <w:sz w:val="26"/>
      <w:szCs w:val="26"/>
    </w:rPr>
  </w:style>
  <w:style w:type="paragraph" w:customStyle="1" w:styleId="Source">
    <w:name w:val="Source"/>
    <w:basedOn w:val="Normal"/>
    <w:uiPriority w:val="7"/>
    <w:qFormat/>
    <w:rsid w:val="002B4279"/>
    <w:pPr>
      <w:spacing w:before="40" w:after="0" w:line="240" w:lineRule="auto"/>
    </w:pPr>
    <w:rPr>
      <w:rFonts w:ascii="Arial" w:eastAsia="Arial" w:hAnsi="Arial" w:cs="Arial"/>
      <w:sz w:val="16"/>
      <w:szCs w:val="20"/>
      <w:lang w:val="en-US" w:eastAsia="id-ID"/>
    </w:rPr>
  </w:style>
  <w:style w:type="paragraph" w:customStyle="1" w:styleId="TableContent">
    <w:name w:val="Table Content"/>
    <w:basedOn w:val="Normal"/>
    <w:uiPriority w:val="6"/>
    <w:qFormat/>
    <w:rsid w:val="002B4279"/>
    <w:pPr>
      <w:spacing w:after="0" w:line="240" w:lineRule="auto"/>
      <w:jc w:val="both"/>
    </w:pPr>
    <w:rPr>
      <w:rFonts w:ascii="Arial" w:eastAsia="Arial" w:hAnsi="Arial" w:cs="Arial"/>
      <w:sz w:val="18"/>
      <w:szCs w:val="20"/>
      <w:lang w:val="en-US" w:eastAsia="id-ID"/>
    </w:rPr>
  </w:style>
  <w:style w:type="paragraph" w:customStyle="1" w:styleId="TableTitle">
    <w:name w:val="Table Title"/>
    <w:basedOn w:val="Heading4"/>
    <w:uiPriority w:val="5"/>
    <w:qFormat/>
    <w:rsid w:val="002B4279"/>
    <w:pPr>
      <w:tabs>
        <w:tab w:val="left" w:pos="851"/>
      </w:tabs>
      <w:spacing w:before="0" w:line="240" w:lineRule="auto"/>
      <w:jc w:val="both"/>
    </w:pPr>
    <w:rPr>
      <w:rFonts w:ascii="Arial" w:hAnsi="Arial"/>
      <w:bCs/>
      <w:i w:val="0"/>
      <w:color w:val="auto"/>
      <w:sz w:val="18"/>
      <w:szCs w:val="20"/>
      <w:lang w:val="en-US" w:eastAsia="id-ID"/>
    </w:rPr>
  </w:style>
  <w:style w:type="character" w:customStyle="1" w:styleId="Heading4Char">
    <w:name w:val="Heading 4 Char"/>
    <w:basedOn w:val="DefaultParagraphFont"/>
    <w:link w:val="Heading4"/>
    <w:uiPriority w:val="9"/>
    <w:semiHidden/>
    <w:rsid w:val="002B4279"/>
    <w:rPr>
      <w:rFonts w:asciiTheme="majorHAnsi" w:eastAsiaTheme="majorEastAsia" w:hAnsiTheme="majorHAnsi" w:cstheme="majorBidi"/>
      <w:i/>
      <w:iCs/>
      <w:color w:val="2E74B5" w:themeColor="accent1" w:themeShade="BF"/>
    </w:rPr>
  </w:style>
  <w:style w:type="character" w:customStyle="1" w:styleId="jlqj4b">
    <w:name w:val="jlqj4b"/>
    <w:basedOn w:val="DefaultParagraphFont"/>
    <w:rsid w:val="002B4279"/>
  </w:style>
  <w:style w:type="character" w:customStyle="1" w:styleId="viiyi">
    <w:name w:val="viiyi"/>
    <w:basedOn w:val="DefaultParagraphFont"/>
    <w:rsid w:val="002B4279"/>
  </w:style>
  <w:style w:type="character" w:styleId="Hyperlink">
    <w:name w:val="Hyperlink"/>
    <w:basedOn w:val="DefaultParagraphFont"/>
    <w:uiPriority w:val="99"/>
    <w:unhideWhenUsed/>
    <w:rsid w:val="005237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765837">
      <w:bodyDiv w:val="1"/>
      <w:marLeft w:val="0"/>
      <w:marRight w:val="0"/>
      <w:marTop w:val="0"/>
      <w:marBottom w:val="0"/>
      <w:divBdr>
        <w:top w:val="none" w:sz="0" w:space="0" w:color="auto"/>
        <w:left w:val="none" w:sz="0" w:space="0" w:color="auto"/>
        <w:bottom w:val="none" w:sz="0" w:space="0" w:color="auto"/>
        <w:right w:val="none" w:sz="0" w:space="0" w:color="auto"/>
      </w:divBdr>
    </w:div>
    <w:div w:id="579948508">
      <w:bodyDiv w:val="1"/>
      <w:marLeft w:val="0"/>
      <w:marRight w:val="0"/>
      <w:marTop w:val="0"/>
      <w:marBottom w:val="0"/>
      <w:divBdr>
        <w:top w:val="none" w:sz="0" w:space="0" w:color="auto"/>
        <w:left w:val="none" w:sz="0" w:space="0" w:color="auto"/>
        <w:bottom w:val="none" w:sz="0" w:space="0" w:color="auto"/>
        <w:right w:val="none" w:sz="0" w:space="0" w:color="auto"/>
      </w:divBdr>
      <w:divsChild>
        <w:div w:id="2075929113">
          <w:marLeft w:val="0"/>
          <w:marRight w:val="0"/>
          <w:marTop w:val="0"/>
          <w:marBottom w:val="0"/>
          <w:divBdr>
            <w:top w:val="none" w:sz="0" w:space="0" w:color="auto"/>
            <w:left w:val="none" w:sz="0" w:space="0" w:color="auto"/>
            <w:bottom w:val="none" w:sz="0" w:space="0" w:color="auto"/>
            <w:right w:val="none" w:sz="0" w:space="0" w:color="auto"/>
          </w:divBdr>
          <w:divsChild>
            <w:div w:id="974876549">
              <w:marLeft w:val="0"/>
              <w:marRight w:val="0"/>
              <w:marTop w:val="0"/>
              <w:marBottom w:val="0"/>
              <w:divBdr>
                <w:top w:val="none" w:sz="0" w:space="0" w:color="auto"/>
                <w:left w:val="none" w:sz="0" w:space="0" w:color="auto"/>
                <w:bottom w:val="none" w:sz="0" w:space="0" w:color="auto"/>
                <w:right w:val="none" w:sz="0" w:space="0" w:color="auto"/>
              </w:divBdr>
              <w:divsChild>
                <w:div w:id="1155880894">
                  <w:marLeft w:val="0"/>
                  <w:marRight w:val="0"/>
                  <w:marTop w:val="0"/>
                  <w:marBottom w:val="0"/>
                  <w:divBdr>
                    <w:top w:val="none" w:sz="0" w:space="0" w:color="auto"/>
                    <w:left w:val="none" w:sz="0" w:space="0" w:color="auto"/>
                    <w:bottom w:val="none" w:sz="0" w:space="0" w:color="auto"/>
                    <w:right w:val="none" w:sz="0" w:space="0" w:color="auto"/>
                  </w:divBdr>
                  <w:divsChild>
                    <w:div w:id="106228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363744">
      <w:bodyDiv w:val="1"/>
      <w:marLeft w:val="0"/>
      <w:marRight w:val="0"/>
      <w:marTop w:val="0"/>
      <w:marBottom w:val="0"/>
      <w:divBdr>
        <w:top w:val="none" w:sz="0" w:space="0" w:color="auto"/>
        <w:left w:val="none" w:sz="0" w:space="0" w:color="auto"/>
        <w:bottom w:val="none" w:sz="0" w:space="0" w:color="auto"/>
        <w:right w:val="none" w:sz="0" w:space="0" w:color="auto"/>
      </w:divBdr>
      <w:divsChild>
        <w:div w:id="1138185420">
          <w:marLeft w:val="0"/>
          <w:marRight w:val="0"/>
          <w:marTop w:val="0"/>
          <w:marBottom w:val="120"/>
          <w:divBdr>
            <w:top w:val="none" w:sz="0" w:space="0" w:color="auto"/>
            <w:left w:val="none" w:sz="0" w:space="0" w:color="auto"/>
            <w:bottom w:val="none" w:sz="0" w:space="0" w:color="auto"/>
            <w:right w:val="none" w:sz="0" w:space="0" w:color="auto"/>
          </w:divBdr>
          <w:divsChild>
            <w:div w:id="1629971181">
              <w:marLeft w:val="0"/>
              <w:marRight w:val="0"/>
              <w:marTop w:val="0"/>
              <w:marBottom w:val="0"/>
              <w:divBdr>
                <w:top w:val="none" w:sz="0" w:space="0" w:color="auto"/>
                <w:left w:val="none" w:sz="0" w:space="0" w:color="auto"/>
                <w:bottom w:val="none" w:sz="0" w:space="0" w:color="auto"/>
                <w:right w:val="none" w:sz="0" w:space="0" w:color="auto"/>
              </w:divBdr>
              <w:divsChild>
                <w:div w:id="2086612481">
                  <w:marLeft w:val="0"/>
                  <w:marRight w:val="0"/>
                  <w:marTop w:val="0"/>
                  <w:marBottom w:val="0"/>
                  <w:divBdr>
                    <w:top w:val="none" w:sz="0" w:space="0" w:color="auto"/>
                    <w:left w:val="none" w:sz="0" w:space="0" w:color="auto"/>
                    <w:bottom w:val="none" w:sz="0" w:space="0" w:color="auto"/>
                    <w:right w:val="none" w:sz="0" w:space="0" w:color="auto"/>
                  </w:divBdr>
                  <w:divsChild>
                    <w:div w:id="170979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394601">
      <w:bodyDiv w:val="1"/>
      <w:marLeft w:val="0"/>
      <w:marRight w:val="0"/>
      <w:marTop w:val="0"/>
      <w:marBottom w:val="0"/>
      <w:divBdr>
        <w:top w:val="none" w:sz="0" w:space="0" w:color="auto"/>
        <w:left w:val="none" w:sz="0" w:space="0" w:color="auto"/>
        <w:bottom w:val="none" w:sz="0" w:space="0" w:color="auto"/>
        <w:right w:val="none" w:sz="0" w:space="0" w:color="auto"/>
      </w:divBdr>
    </w:div>
    <w:div w:id="906691069">
      <w:bodyDiv w:val="1"/>
      <w:marLeft w:val="0"/>
      <w:marRight w:val="0"/>
      <w:marTop w:val="0"/>
      <w:marBottom w:val="0"/>
      <w:divBdr>
        <w:top w:val="none" w:sz="0" w:space="0" w:color="auto"/>
        <w:left w:val="none" w:sz="0" w:space="0" w:color="auto"/>
        <w:bottom w:val="none" w:sz="0" w:space="0" w:color="auto"/>
        <w:right w:val="none" w:sz="0" w:space="0" w:color="auto"/>
      </w:divBdr>
      <w:divsChild>
        <w:div w:id="466898033">
          <w:marLeft w:val="0"/>
          <w:marRight w:val="0"/>
          <w:marTop w:val="0"/>
          <w:marBottom w:val="120"/>
          <w:divBdr>
            <w:top w:val="none" w:sz="0" w:space="0" w:color="auto"/>
            <w:left w:val="none" w:sz="0" w:space="0" w:color="auto"/>
            <w:bottom w:val="none" w:sz="0" w:space="0" w:color="auto"/>
            <w:right w:val="none" w:sz="0" w:space="0" w:color="auto"/>
          </w:divBdr>
          <w:divsChild>
            <w:div w:id="931161219">
              <w:marLeft w:val="0"/>
              <w:marRight w:val="0"/>
              <w:marTop w:val="0"/>
              <w:marBottom w:val="0"/>
              <w:divBdr>
                <w:top w:val="none" w:sz="0" w:space="0" w:color="auto"/>
                <w:left w:val="none" w:sz="0" w:space="0" w:color="auto"/>
                <w:bottom w:val="none" w:sz="0" w:space="0" w:color="auto"/>
                <w:right w:val="none" w:sz="0" w:space="0" w:color="auto"/>
              </w:divBdr>
              <w:divsChild>
                <w:div w:id="229389210">
                  <w:marLeft w:val="0"/>
                  <w:marRight w:val="0"/>
                  <w:marTop w:val="0"/>
                  <w:marBottom w:val="0"/>
                  <w:divBdr>
                    <w:top w:val="none" w:sz="0" w:space="0" w:color="auto"/>
                    <w:left w:val="none" w:sz="0" w:space="0" w:color="auto"/>
                    <w:bottom w:val="none" w:sz="0" w:space="0" w:color="auto"/>
                    <w:right w:val="none" w:sz="0" w:space="0" w:color="auto"/>
                  </w:divBdr>
                  <w:divsChild>
                    <w:div w:id="531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234823">
      <w:bodyDiv w:val="1"/>
      <w:marLeft w:val="0"/>
      <w:marRight w:val="0"/>
      <w:marTop w:val="0"/>
      <w:marBottom w:val="0"/>
      <w:divBdr>
        <w:top w:val="none" w:sz="0" w:space="0" w:color="auto"/>
        <w:left w:val="none" w:sz="0" w:space="0" w:color="auto"/>
        <w:bottom w:val="none" w:sz="0" w:space="0" w:color="auto"/>
        <w:right w:val="none" w:sz="0" w:space="0" w:color="auto"/>
      </w:divBdr>
      <w:divsChild>
        <w:div w:id="569733536">
          <w:marLeft w:val="0"/>
          <w:marRight w:val="0"/>
          <w:marTop w:val="0"/>
          <w:marBottom w:val="0"/>
          <w:divBdr>
            <w:top w:val="none" w:sz="0" w:space="0" w:color="auto"/>
            <w:left w:val="none" w:sz="0" w:space="0" w:color="auto"/>
            <w:bottom w:val="none" w:sz="0" w:space="0" w:color="auto"/>
            <w:right w:val="none" w:sz="0" w:space="0" w:color="auto"/>
          </w:divBdr>
          <w:divsChild>
            <w:div w:id="431127908">
              <w:marLeft w:val="0"/>
              <w:marRight w:val="0"/>
              <w:marTop w:val="0"/>
              <w:marBottom w:val="0"/>
              <w:divBdr>
                <w:top w:val="none" w:sz="0" w:space="0" w:color="auto"/>
                <w:left w:val="none" w:sz="0" w:space="0" w:color="auto"/>
                <w:bottom w:val="none" w:sz="0" w:space="0" w:color="auto"/>
                <w:right w:val="none" w:sz="0" w:space="0" w:color="auto"/>
              </w:divBdr>
              <w:divsChild>
                <w:div w:id="1127316823">
                  <w:marLeft w:val="0"/>
                  <w:marRight w:val="0"/>
                  <w:marTop w:val="0"/>
                  <w:marBottom w:val="0"/>
                  <w:divBdr>
                    <w:top w:val="none" w:sz="0" w:space="0" w:color="auto"/>
                    <w:left w:val="none" w:sz="0" w:space="0" w:color="auto"/>
                    <w:bottom w:val="none" w:sz="0" w:space="0" w:color="auto"/>
                    <w:right w:val="none" w:sz="0" w:space="0" w:color="auto"/>
                  </w:divBdr>
                  <w:divsChild>
                    <w:div w:id="155288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08984">
      <w:bodyDiv w:val="1"/>
      <w:marLeft w:val="0"/>
      <w:marRight w:val="0"/>
      <w:marTop w:val="0"/>
      <w:marBottom w:val="0"/>
      <w:divBdr>
        <w:top w:val="none" w:sz="0" w:space="0" w:color="auto"/>
        <w:left w:val="none" w:sz="0" w:space="0" w:color="auto"/>
        <w:bottom w:val="none" w:sz="0" w:space="0" w:color="auto"/>
        <w:right w:val="none" w:sz="0" w:space="0" w:color="auto"/>
      </w:divBdr>
      <w:divsChild>
        <w:div w:id="1595477308">
          <w:marLeft w:val="0"/>
          <w:marRight w:val="0"/>
          <w:marTop w:val="0"/>
          <w:marBottom w:val="0"/>
          <w:divBdr>
            <w:top w:val="none" w:sz="0" w:space="0" w:color="auto"/>
            <w:left w:val="none" w:sz="0" w:space="0" w:color="auto"/>
            <w:bottom w:val="none" w:sz="0" w:space="0" w:color="auto"/>
            <w:right w:val="none" w:sz="0" w:space="0" w:color="auto"/>
          </w:divBdr>
          <w:divsChild>
            <w:div w:id="808018126">
              <w:marLeft w:val="0"/>
              <w:marRight w:val="0"/>
              <w:marTop w:val="0"/>
              <w:marBottom w:val="0"/>
              <w:divBdr>
                <w:top w:val="none" w:sz="0" w:space="0" w:color="auto"/>
                <w:left w:val="none" w:sz="0" w:space="0" w:color="auto"/>
                <w:bottom w:val="none" w:sz="0" w:space="0" w:color="auto"/>
                <w:right w:val="none" w:sz="0" w:space="0" w:color="auto"/>
              </w:divBdr>
              <w:divsChild>
                <w:div w:id="1889609462">
                  <w:marLeft w:val="0"/>
                  <w:marRight w:val="0"/>
                  <w:marTop w:val="0"/>
                  <w:marBottom w:val="0"/>
                  <w:divBdr>
                    <w:top w:val="none" w:sz="0" w:space="0" w:color="auto"/>
                    <w:left w:val="none" w:sz="0" w:space="0" w:color="auto"/>
                    <w:bottom w:val="none" w:sz="0" w:space="0" w:color="auto"/>
                    <w:right w:val="none" w:sz="0" w:space="0" w:color="auto"/>
                  </w:divBdr>
                  <w:divsChild>
                    <w:div w:id="18587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255371">
      <w:bodyDiv w:val="1"/>
      <w:marLeft w:val="0"/>
      <w:marRight w:val="0"/>
      <w:marTop w:val="0"/>
      <w:marBottom w:val="0"/>
      <w:divBdr>
        <w:top w:val="none" w:sz="0" w:space="0" w:color="auto"/>
        <w:left w:val="none" w:sz="0" w:space="0" w:color="auto"/>
        <w:bottom w:val="none" w:sz="0" w:space="0" w:color="auto"/>
        <w:right w:val="none" w:sz="0" w:space="0" w:color="auto"/>
      </w:divBdr>
    </w:div>
    <w:div w:id="1363285605">
      <w:bodyDiv w:val="1"/>
      <w:marLeft w:val="0"/>
      <w:marRight w:val="0"/>
      <w:marTop w:val="0"/>
      <w:marBottom w:val="0"/>
      <w:divBdr>
        <w:top w:val="none" w:sz="0" w:space="0" w:color="auto"/>
        <w:left w:val="none" w:sz="0" w:space="0" w:color="auto"/>
        <w:bottom w:val="none" w:sz="0" w:space="0" w:color="auto"/>
        <w:right w:val="none" w:sz="0" w:space="0" w:color="auto"/>
      </w:divBdr>
    </w:div>
    <w:div w:id="1575092932">
      <w:bodyDiv w:val="1"/>
      <w:marLeft w:val="0"/>
      <w:marRight w:val="0"/>
      <w:marTop w:val="0"/>
      <w:marBottom w:val="0"/>
      <w:divBdr>
        <w:top w:val="none" w:sz="0" w:space="0" w:color="auto"/>
        <w:left w:val="none" w:sz="0" w:space="0" w:color="auto"/>
        <w:bottom w:val="none" w:sz="0" w:space="0" w:color="auto"/>
        <w:right w:val="none" w:sz="0" w:space="0" w:color="auto"/>
      </w:divBdr>
    </w:div>
    <w:div w:id="1704012890">
      <w:bodyDiv w:val="1"/>
      <w:marLeft w:val="0"/>
      <w:marRight w:val="0"/>
      <w:marTop w:val="0"/>
      <w:marBottom w:val="0"/>
      <w:divBdr>
        <w:top w:val="none" w:sz="0" w:space="0" w:color="auto"/>
        <w:left w:val="none" w:sz="0" w:space="0" w:color="auto"/>
        <w:bottom w:val="none" w:sz="0" w:space="0" w:color="auto"/>
        <w:right w:val="none" w:sz="0" w:space="0" w:color="auto"/>
      </w:divBdr>
    </w:div>
    <w:div w:id="1742437068">
      <w:bodyDiv w:val="1"/>
      <w:marLeft w:val="0"/>
      <w:marRight w:val="0"/>
      <w:marTop w:val="0"/>
      <w:marBottom w:val="0"/>
      <w:divBdr>
        <w:top w:val="none" w:sz="0" w:space="0" w:color="auto"/>
        <w:left w:val="none" w:sz="0" w:space="0" w:color="auto"/>
        <w:bottom w:val="none" w:sz="0" w:space="0" w:color="auto"/>
        <w:right w:val="none" w:sz="0" w:space="0" w:color="auto"/>
      </w:divBdr>
      <w:divsChild>
        <w:div w:id="2048408970">
          <w:marLeft w:val="0"/>
          <w:marRight w:val="0"/>
          <w:marTop w:val="0"/>
          <w:marBottom w:val="0"/>
          <w:divBdr>
            <w:top w:val="none" w:sz="0" w:space="0" w:color="auto"/>
            <w:left w:val="none" w:sz="0" w:space="0" w:color="auto"/>
            <w:bottom w:val="none" w:sz="0" w:space="0" w:color="auto"/>
            <w:right w:val="none" w:sz="0" w:space="0" w:color="auto"/>
          </w:divBdr>
          <w:divsChild>
            <w:div w:id="1755779490">
              <w:marLeft w:val="0"/>
              <w:marRight w:val="0"/>
              <w:marTop w:val="0"/>
              <w:marBottom w:val="0"/>
              <w:divBdr>
                <w:top w:val="none" w:sz="0" w:space="0" w:color="auto"/>
                <w:left w:val="none" w:sz="0" w:space="0" w:color="auto"/>
                <w:bottom w:val="none" w:sz="0" w:space="0" w:color="auto"/>
                <w:right w:val="none" w:sz="0" w:space="0" w:color="auto"/>
              </w:divBdr>
              <w:divsChild>
                <w:div w:id="1850018099">
                  <w:marLeft w:val="0"/>
                  <w:marRight w:val="0"/>
                  <w:marTop w:val="0"/>
                  <w:marBottom w:val="0"/>
                  <w:divBdr>
                    <w:top w:val="none" w:sz="0" w:space="0" w:color="auto"/>
                    <w:left w:val="none" w:sz="0" w:space="0" w:color="auto"/>
                    <w:bottom w:val="none" w:sz="0" w:space="0" w:color="auto"/>
                    <w:right w:val="none" w:sz="0" w:space="0" w:color="auto"/>
                  </w:divBdr>
                  <w:divsChild>
                    <w:div w:id="5602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881512">
      <w:bodyDiv w:val="1"/>
      <w:marLeft w:val="0"/>
      <w:marRight w:val="0"/>
      <w:marTop w:val="0"/>
      <w:marBottom w:val="0"/>
      <w:divBdr>
        <w:top w:val="none" w:sz="0" w:space="0" w:color="auto"/>
        <w:left w:val="none" w:sz="0" w:space="0" w:color="auto"/>
        <w:bottom w:val="none" w:sz="0" w:space="0" w:color="auto"/>
        <w:right w:val="none" w:sz="0" w:space="0" w:color="auto"/>
      </w:divBdr>
    </w:div>
    <w:div w:id="2143649392">
      <w:bodyDiv w:val="1"/>
      <w:marLeft w:val="0"/>
      <w:marRight w:val="0"/>
      <w:marTop w:val="0"/>
      <w:marBottom w:val="0"/>
      <w:divBdr>
        <w:top w:val="none" w:sz="0" w:space="0" w:color="auto"/>
        <w:left w:val="none" w:sz="0" w:space="0" w:color="auto"/>
        <w:bottom w:val="none" w:sz="0" w:space="0" w:color="auto"/>
        <w:right w:val="none" w:sz="0" w:space="0" w:color="auto"/>
      </w:divBdr>
      <w:divsChild>
        <w:div w:id="980575339">
          <w:marLeft w:val="0"/>
          <w:marRight w:val="0"/>
          <w:marTop w:val="0"/>
          <w:marBottom w:val="0"/>
          <w:divBdr>
            <w:top w:val="none" w:sz="0" w:space="0" w:color="auto"/>
            <w:left w:val="none" w:sz="0" w:space="0" w:color="auto"/>
            <w:bottom w:val="none" w:sz="0" w:space="0" w:color="auto"/>
            <w:right w:val="none" w:sz="0" w:space="0" w:color="auto"/>
          </w:divBdr>
          <w:divsChild>
            <w:div w:id="1409419850">
              <w:marLeft w:val="0"/>
              <w:marRight w:val="0"/>
              <w:marTop w:val="0"/>
              <w:marBottom w:val="0"/>
              <w:divBdr>
                <w:top w:val="none" w:sz="0" w:space="0" w:color="auto"/>
                <w:left w:val="none" w:sz="0" w:space="0" w:color="auto"/>
                <w:bottom w:val="none" w:sz="0" w:space="0" w:color="auto"/>
                <w:right w:val="none" w:sz="0" w:space="0" w:color="auto"/>
              </w:divBdr>
              <w:divsChild>
                <w:div w:id="1895387250">
                  <w:marLeft w:val="0"/>
                  <w:marRight w:val="0"/>
                  <w:marTop w:val="0"/>
                  <w:marBottom w:val="0"/>
                  <w:divBdr>
                    <w:top w:val="none" w:sz="0" w:space="0" w:color="auto"/>
                    <w:left w:val="none" w:sz="0" w:space="0" w:color="auto"/>
                    <w:bottom w:val="none" w:sz="0" w:space="0" w:color="auto"/>
                    <w:right w:val="none" w:sz="0" w:space="0" w:color="auto"/>
                  </w:divBdr>
                  <w:divsChild>
                    <w:div w:id="183228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lamet.handoko@esdm.go.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Qsync\My%20Briefcase\Jurnal%20Ku\IMJ%20-%20Fast%20Pyrolisis\Pengolahan%20Data%20Neraca%20Mass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Sheet3!$B$2</c:f>
              <c:strCache>
                <c:ptCount val="1"/>
                <c:pt idx="0">
                  <c:v>Char A</c:v>
                </c:pt>
              </c:strCache>
            </c:strRef>
          </c:tx>
          <c:spPr>
            <a:solidFill>
              <a:schemeClr val="accent6">
                <a:lumMod val="75000"/>
              </a:schemeClr>
            </a:solidFill>
            <a:ln>
              <a:noFill/>
            </a:ln>
            <a:effectLst/>
          </c:spPr>
          <c:invertIfNegative val="0"/>
          <c:cat>
            <c:numRef>
              <c:f>Sheet3!$A$3:$A$6</c:f>
              <c:numCache>
                <c:formatCode>General</c:formatCode>
                <c:ptCount val="4"/>
                <c:pt idx="0">
                  <c:v>500</c:v>
                </c:pt>
                <c:pt idx="1">
                  <c:v>600</c:v>
                </c:pt>
                <c:pt idx="2">
                  <c:v>700</c:v>
                </c:pt>
                <c:pt idx="3">
                  <c:v>800</c:v>
                </c:pt>
              </c:numCache>
            </c:numRef>
          </c:cat>
          <c:val>
            <c:numRef>
              <c:f>Sheet3!$B$3:$B$6</c:f>
              <c:numCache>
                <c:formatCode>0.00</c:formatCode>
                <c:ptCount val="4"/>
                <c:pt idx="0">
                  <c:v>80.825000000000003</c:v>
                </c:pt>
                <c:pt idx="1">
                  <c:v>74.534999999999997</c:v>
                </c:pt>
                <c:pt idx="2">
                  <c:v>66.765000000000001</c:v>
                </c:pt>
                <c:pt idx="3">
                  <c:v>54.554999999999993</c:v>
                </c:pt>
              </c:numCache>
            </c:numRef>
          </c:val>
          <c:extLst>
            <c:ext xmlns:c16="http://schemas.microsoft.com/office/drawing/2014/chart" uri="{C3380CC4-5D6E-409C-BE32-E72D297353CC}">
              <c16:uniqueId val="{00000000-B0AA-42AB-A6AC-3132DB965265}"/>
            </c:ext>
          </c:extLst>
        </c:ser>
        <c:ser>
          <c:idx val="3"/>
          <c:order val="1"/>
          <c:tx>
            <c:strRef>
              <c:f>Sheet3!$C$2</c:f>
              <c:strCache>
                <c:ptCount val="1"/>
                <c:pt idx="0">
                  <c:v>Char B</c:v>
                </c:pt>
              </c:strCache>
            </c:strRef>
          </c:tx>
          <c:spPr>
            <a:pattFill prst="pct75">
              <a:fgClr>
                <a:schemeClr val="accent6">
                  <a:lumMod val="75000"/>
                </a:schemeClr>
              </a:fgClr>
              <a:bgClr>
                <a:schemeClr val="bg1"/>
              </a:bgClr>
            </a:pattFill>
            <a:ln>
              <a:noFill/>
            </a:ln>
            <a:effectLst/>
          </c:spPr>
          <c:invertIfNegative val="0"/>
          <c:cat>
            <c:numRef>
              <c:f>Sheet3!$A$3:$A$6</c:f>
              <c:numCache>
                <c:formatCode>General</c:formatCode>
                <c:ptCount val="4"/>
                <c:pt idx="0">
                  <c:v>500</c:v>
                </c:pt>
                <c:pt idx="1">
                  <c:v>600</c:v>
                </c:pt>
                <c:pt idx="2">
                  <c:v>700</c:v>
                </c:pt>
                <c:pt idx="3">
                  <c:v>800</c:v>
                </c:pt>
              </c:numCache>
            </c:numRef>
          </c:cat>
          <c:val>
            <c:numRef>
              <c:f>Sheet3!$C$3:$C$6</c:f>
              <c:numCache>
                <c:formatCode>0.00</c:formatCode>
                <c:ptCount val="4"/>
                <c:pt idx="0">
                  <c:v>77.069999999999993</c:v>
                </c:pt>
                <c:pt idx="1">
                  <c:v>66.710000000000008</c:v>
                </c:pt>
                <c:pt idx="2">
                  <c:v>65.385000000000005</c:v>
                </c:pt>
                <c:pt idx="3">
                  <c:v>53.330000000000005</c:v>
                </c:pt>
              </c:numCache>
            </c:numRef>
          </c:val>
          <c:extLst>
            <c:ext xmlns:c16="http://schemas.microsoft.com/office/drawing/2014/chart" uri="{C3380CC4-5D6E-409C-BE32-E72D297353CC}">
              <c16:uniqueId val="{00000001-B0AA-42AB-A6AC-3132DB965265}"/>
            </c:ext>
          </c:extLst>
        </c:ser>
        <c:ser>
          <c:idx val="1"/>
          <c:order val="2"/>
          <c:tx>
            <c:strRef>
              <c:f>Sheet3!$D$2</c:f>
              <c:strCache>
                <c:ptCount val="1"/>
                <c:pt idx="0">
                  <c:v>Tar A</c:v>
                </c:pt>
              </c:strCache>
            </c:strRef>
          </c:tx>
          <c:spPr>
            <a:solidFill>
              <a:schemeClr val="accent1">
                <a:lumMod val="75000"/>
              </a:schemeClr>
            </a:solidFill>
            <a:ln>
              <a:noFill/>
            </a:ln>
            <a:effectLst/>
          </c:spPr>
          <c:invertIfNegative val="0"/>
          <c:cat>
            <c:numRef>
              <c:f>Sheet3!$A$3:$A$6</c:f>
              <c:numCache>
                <c:formatCode>General</c:formatCode>
                <c:ptCount val="4"/>
                <c:pt idx="0">
                  <c:v>500</c:v>
                </c:pt>
                <c:pt idx="1">
                  <c:v>600</c:v>
                </c:pt>
                <c:pt idx="2">
                  <c:v>700</c:v>
                </c:pt>
                <c:pt idx="3">
                  <c:v>800</c:v>
                </c:pt>
              </c:numCache>
            </c:numRef>
          </c:cat>
          <c:val>
            <c:numRef>
              <c:f>Sheet3!$D$3:$D$6</c:f>
              <c:numCache>
                <c:formatCode>0.00</c:formatCode>
                <c:ptCount val="4"/>
                <c:pt idx="0">
                  <c:v>18.100000000000001</c:v>
                </c:pt>
                <c:pt idx="1">
                  <c:v>19.82</c:v>
                </c:pt>
                <c:pt idx="2">
                  <c:v>15.794999999999998</c:v>
                </c:pt>
                <c:pt idx="3">
                  <c:v>9.67</c:v>
                </c:pt>
              </c:numCache>
            </c:numRef>
          </c:val>
          <c:extLst>
            <c:ext xmlns:c16="http://schemas.microsoft.com/office/drawing/2014/chart" uri="{C3380CC4-5D6E-409C-BE32-E72D297353CC}">
              <c16:uniqueId val="{00000002-B0AA-42AB-A6AC-3132DB965265}"/>
            </c:ext>
          </c:extLst>
        </c:ser>
        <c:ser>
          <c:idx val="4"/>
          <c:order val="3"/>
          <c:tx>
            <c:strRef>
              <c:f>Sheet3!$E$2</c:f>
              <c:strCache>
                <c:ptCount val="1"/>
                <c:pt idx="0">
                  <c:v>Tar B</c:v>
                </c:pt>
              </c:strCache>
            </c:strRef>
          </c:tx>
          <c:spPr>
            <a:pattFill prst="pct75">
              <a:fgClr>
                <a:schemeClr val="accent1">
                  <a:lumMod val="75000"/>
                </a:schemeClr>
              </a:fgClr>
              <a:bgClr>
                <a:schemeClr val="bg1"/>
              </a:bgClr>
            </a:pattFill>
            <a:ln>
              <a:noFill/>
            </a:ln>
            <a:effectLst/>
          </c:spPr>
          <c:invertIfNegative val="0"/>
          <c:cat>
            <c:numRef>
              <c:f>Sheet3!$A$3:$A$6</c:f>
              <c:numCache>
                <c:formatCode>General</c:formatCode>
                <c:ptCount val="4"/>
                <c:pt idx="0">
                  <c:v>500</c:v>
                </c:pt>
                <c:pt idx="1">
                  <c:v>600</c:v>
                </c:pt>
                <c:pt idx="2">
                  <c:v>700</c:v>
                </c:pt>
                <c:pt idx="3">
                  <c:v>800</c:v>
                </c:pt>
              </c:numCache>
            </c:numRef>
          </c:cat>
          <c:val>
            <c:numRef>
              <c:f>Sheet3!$E$3:$E$6</c:f>
              <c:numCache>
                <c:formatCode>0.00</c:formatCode>
                <c:ptCount val="4"/>
                <c:pt idx="0">
                  <c:v>22.705000000000002</c:v>
                </c:pt>
                <c:pt idx="1">
                  <c:v>29.51</c:v>
                </c:pt>
                <c:pt idx="2">
                  <c:v>29.965000000000003</c:v>
                </c:pt>
                <c:pt idx="3">
                  <c:v>20.51</c:v>
                </c:pt>
              </c:numCache>
            </c:numRef>
          </c:val>
          <c:extLst>
            <c:ext xmlns:c16="http://schemas.microsoft.com/office/drawing/2014/chart" uri="{C3380CC4-5D6E-409C-BE32-E72D297353CC}">
              <c16:uniqueId val="{00000003-B0AA-42AB-A6AC-3132DB965265}"/>
            </c:ext>
          </c:extLst>
        </c:ser>
        <c:ser>
          <c:idx val="2"/>
          <c:order val="4"/>
          <c:tx>
            <c:strRef>
              <c:f>Sheet3!$F$2</c:f>
              <c:strCache>
                <c:ptCount val="1"/>
                <c:pt idx="0">
                  <c:v>NCG A</c:v>
                </c:pt>
              </c:strCache>
            </c:strRef>
          </c:tx>
          <c:spPr>
            <a:solidFill>
              <a:srgbClr val="FFC000"/>
            </a:solidFill>
            <a:ln>
              <a:noFill/>
            </a:ln>
            <a:effectLst/>
          </c:spPr>
          <c:invertIfNegative val="0"/>
          <c:cat>
            <c:numRef>
              <c:f>Sheet3!$A$3:$A$6</c:f>
              <c:numCache>
                <c:formatCode>General</c:formatCode>
                <c:ptCount val="4"/>
                <c:pt idx="0">
                  <c:v>500</c:v>
                </c:pt>
                <c:pt idx="1">
                  <c:v>600</c:v>
                </c:pt>
                <c:pt idx="2">
                  <c:v>700</c:v>
                </c:pt>
                <c:pt idx="3">
                  <c:v>800</c:v>
                </c:pt>
              </c:numCache>
            </c:numRef>
          </c:cat>
          <c:val>
            <c:numRef>
              <c:f>Sheet3!$F$3:$F$6</c:f>
              <c:numCache>
                <c:formatCode>0.00</c:formatCode>
                <c:ptCount val="4"/>
                <c:pt idx="0">
                  <c:v>1.075</c:v>
                </c:pt>
                <c:pt idx="1">
                  <c:v>5.6450000000000005</c:v>
                </c:pt>
                <c:pt idx="2">
                  <c:v>17.440000000000001</c:v>
                </c:pt>
                <c:pt idx="3">
                  <c:v>35.774999999999999</c:v>
                </c:pt>
              </c:numCache>
            </c:numRef>
          </c:val>
          <c:extLst>
            <c:ext xmlns:c16="http://schemas.microsoft.com/office/drawing/2014/chart" uri="{C3380CC4-5D6E-409C-BE32-E72D297353CC}">
              <c16:uniqueId val="{00000004-B0AA-42AB-A6AC-3132DB965265}"/>
            </c:ext>
          </c:extLst>
        </c:ser>
        <c:ser>
          <c:idx val="5"/>
          <c:order val="5"/>
          <c:tx>
            <c:strRef>
              <c:f>Sheet3!$G$2</c:f>
              <c:strCache>
                <c:ptCount val="1"/>
                <c:pt idx="0">
                  <c:v>NCG B</c:v>
                </c:pt>
              </c:strCache>
            </c:strRef>
          </c:tx>
          <c:spPr>
            <a:pattFill prst="pct75">
              <a:fgClr>
                <a:srgbClr val="FFC000"/>
              </a:fgClr>
              <a:bgClr>
                <a:schemeClr val="bg1"/>
              </a:bgClr>
            </a:pattFill>
            <a:ln>
              <a:noFill/>
            </a:ln>
            <a:effectLst/>
          </c:spPr>
          <c:invertIfNegative val="0"/>
          <c:cat>
            <c:numRef>
              <c:f>Sheet3!$A$3:$A$6</c:f>
              <c:numCache>
                <c:formatCode>General</c:formatCode>
                <c:ptCount val="4"/>
                <c:pt idx="0">
                  <c:v>500</c:v>
                </c:pt>
                <c:pt idx="1">
                  <c:v>600</c:v>
                </c:pt>
                <c:pt idx="2">
                  <c:v>700</c:v>
                </c:pt>
                <c:pt idx="3">
                  <c:v>800</c:v>
                </c:pt>
              </c:numCache>
            </c:numRef>
          </c:cat>
          <c:val>
            <c:numRef>
              <c:f>Sheet3!$G$3:$G$6</c:f>
              <c:numCache>
                <c:formatCode>0.00</c:formatCode>
                <c:ptCount val="4"/>
                <c:pt idx="0">
                  <c:v>0.22500000000000001</c:v>
                </c:pt>
                <c:pt idx="1">
                  <c:v>3.78</c:v>
                </c:pt>
                <c:pt idx="2">
                  <c:v>4.6500000000000004</c:v>
                </c:pt>
                <c:pt idx="3">
                  <c:v>26.160000000000004</c:v>
                </c:pt>
              </c:numCache>
            </c:numRef>
          </c:val>
          <c:extLst>
            <c:ext xmlns:c16="http://schemas.microsoft.com/office/drawing/2014/chart" uri="{C3380CC4-5D6E-409C-BE32-E72D297353CC}">
              <c16:uniqueId val="{00000005-B0AA-42AB-A6AC-3132DB965265}"/>
            </c:ext>
          </c:extLst>
        </c:ser>
        <c:dLbls>
          <c:showLegendKey val="0"/>
          <c:showVal val="0"/>
          <c:showCatName val="0"/>
          <c:showSerName val="0"/>
          <c:showPercent val="0"/>
          <c:showBubbleSize val="0"/>
        </c:dLbls>
        <c:gapWidth val="219"/>
        <c:overlap val="-27"/>
        <c:axId val="-1218761200"/>
        <c:axId val="-1218756304"/>
      </c:barChart>
      <c:catAx>
        <c:axId val="-121876120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temperature (°C)</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18756304"/>
        <c:crosses val="autoZero"/>
        <c:auto val="1"/>
        <c:lblAlgn val="ctr"/>
        <c:lblOffset val="100"/>
        <c:noMultiLvlLbl val="0"/>
      </c:catAx>
      <c:valAx>
        <c:axId val="-1218756304"/>
        <c:scaling>
          <c:orientation val="minMax"/>
          <c:max val="90"/>
          <c:min val="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wt%</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18761200"/>
        <c:crosses val="autoZero"/>
        <c:crossBetween val="between"/>
        <c:majorUnit val="10"/>
        <c:minorUnit val="0.5"/>
      </c:valAx>
      <c:spPr>
        <a:noFill/>
        <a:ln>
          <a:noFill/>
        </a:ln>
        <a:effectLst/>
      </c:spPr>
    </c:plotArea>
    <c:legend>
      <c:legendPos val="b"/>
      <c:layout>
        <c:manualLayout>
          <c:xMode val="edge"/>
          <c:yMode val="edge"/>
          <c:x val="0.1304244139654627"/>
          <c:y val="0.89219443168996893"/>
          <c:w val="0.73868947069952773"/>
          <c:h val="8.1792128032554354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65000"/>
          <a:lumOff val="35000"/>
        </a:schemeClr>
      </a:solidFill>
      <a:round/>
    </a:ln>
    <a:effectLst/>
  </c:spPr>
  <c:txPr>
    <a:bodyPr/>
    <a:lstStyle/>
    <a:p>
      <a:pPr>
        <a:defRPr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C0148-5A68-4221-BEC5-DAE4CFA7D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2486</Words>
  <Characters>14174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Sapta</dc:creator>
  <cp:keywords/>
  <dc:description/>
  <cp:lastModifiedBy>User</cp:lastModifiedBy>
  <cp:revision>5</cp:revision>
  <cp:lastPrinted>2020-07-25T13:49:00Z</cp:lastPrinted>
  <dcterms:created xsi:type="dcterms:W3CDTF">2021-07-17T12:17:00Z</dcterms:created>
  <dcterms:modified xsi:type="dcterms:W3CDTF">2021-10-25T18:29:00Z</dcterms:modified>
</cp:coreProperties>
</file>